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4450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high school pilot program for certain inmates and defendants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ADULT HIGH SCHOOL PILOT PROGRAM.  (a)  The department shall establish a pilot program under which one or more nonprofit entities provide an adult education program under Subchapter G, Chapter 12, Education Code, to enable inmates described by Subsection (b) to successfully complete a high school program that can lead to a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inmate who is at least 26 years of age and not more than 50 years of age is eligible to enroll in an adult high school program operated under the pilot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failed to complete the curriculum requirements for high school graduation;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failed to perform satisfactorily on an assessment instrument required for high school graduation;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approves the inmate's enrollment in the program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assessing the inmate's suitability for participation in the program using the results of the risk and needs assessment instrument adopted under Section 501.0921;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the inmate's conduct while in the custody of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admitting inmates to an adult high school education program operated under the pilot program, the nonprofit entity shall give priority to an inmate who has not earned a high school equivalency certificate.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a request for proposals from nonprofit entities described by Section 12.256, Education Code, to provide an adult high school education program under the pilot program.  The department shall require that each applicant identify each region of this state in which the applicant is able to operate an adult high school education program under this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contract with at least one qualified applicant to operate an adult high school education program under the pilot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in consultation with each nonprofit entity that the department contracts with under this section, shall identify at least three and not more than five facilities operated by the department that are suitable to serve as sites for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2023, the Texas Department of Criminal Justice shall issue the request for proposals required by Section 493.035(d), Government Code, as added by this Act.  Not later than September 1, 2024, the Texas Department of Criminal Justice shall ensure that at least one adult high school education program required by Section 493.035, Government Code, as added by this Act, be in operation in a facility operated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