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4451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report by the Texas Workforce Commission regarding apprenticeship opportunities in this state for emerging and high-demand industries.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302.0191.</w:t>
      </w:r>
      <w:r>
        <w:rPr>
          <w:u w:val="single"/>
        </w:rPr>
        <w:t xml:space="preserve"> </w:t>
      </w:r>
      <w:r>
        <w:rPr>
          <w:u w:val="single"/>
        </w:rPr>
        <w:t xml:space="preserve"> </w:t>
      </w:r>
      <w:r>
        <w:rPr>
          <w:u w:val="single"/>
        </w:rPr>
        <w:t xml:space="preserve">REPORT ON AVAILABLE APPRENTICESHIPS.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program"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industry-recognized training program, as defined by Section 302.252;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apprenticeship training program, as defined by Section 133.001,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"Emerging and high-demand industry" means an industry or occupation described by the report required under Section 302.019.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of each year, the commission shall, in consultation with each local workforce development board, prepare and submit to the legislature a report on available apprenticeship programs in this state and make recommendations to expand the availability of apprenticeship programs in emerging and high-demand industries.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active apprenticeship programs, categorized by the industries included in the North American Industry Classification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active apprentices, categorized by the industries included in the North American Industry Classification System;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occupational demand for each industry, categorized by each occupation in the industry for which an apprenticeship program may be established;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expand available apprenticeship programs for emerging and  high-demand industries with higher employment demand relative to the total number of active apprentices and apprenticeship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collaborate and consult with the council or the Apprenticeship and Training Advisory Committee, as designated by the council, to develop recommendations for the report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a copy of the report to the council or the Apprenticeship and Training Advisory Committee, as designated by the council, at the same time as the report required under Section 133.006(b),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2024, the Texas Workforce Commission shall prepare and submit the initial report required by Section 302.0191,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4451 was passed by the House on April 28, 2023, by the following vote:</w:t>
      </w:r>
      <w:r xml:space="preserve">
        <w:t> </w:t>
      </w:r>
      <w:r xml:space="preserve">
        <w:t> </w:t>
      </w:r>
      <w:r>
        <w:t xml:space="preserve">Yeas 123, Nays 21,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4451 was passed by the Senate on May 21,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