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88R14500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4457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functions and duties of the University Interscholastic League.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33.083, Education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University Interscholastic League is a </w:t>
      </w:r>
      <w:r>
        <w:rPr>
          <w:u w:val="single"/>
        </w:rPr>
        <w:t xml:space="preserve">state agency that is</w:t>
      </w:r>
      <w:r>
        <w:t xml:space="preserve"> part of The University of Texas at Austin and must submit its rules and procedures to the commissioner for approval or disapproval. </w:t>
      </w:r>
      <w:r>
        <w:t xml:space="preserve"> </w:t>
      </w:r>
      <w:r>
        <w:t xml:space="preserve">The funds belonging to the University Interscholastic League shall be deposited with The University of Texas at Austin for the benefit of the league and shall be subject to audits by The University of Texas at Austin, The University of Texas System, and the state auditor. </w:t>
      </w:r>
      <w:r>
        <w:t xml:space="preserve"> </w:t>
      </w:r>
      <w:r>
        <w:t xml:space="preserve">Copies of annual audits shall be furnished, on request, to members of the legislature.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University Interscholastic League: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creates and administers interscholastic contests, including academic, music, and athletic contests, for member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adopts and enforces contest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creates local committees to assist in the administration of interscholastic contests;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performs any duty necessary to administer interscholastic contests in this state for member schools.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When conducting a meeting, hearing, or other official duty, the University Interscholastic League, the league's state executive committee, each of the league's district executive committees, and any local committee of the league: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Chapters 551 and 552,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Sections 2001.051, 2001.052, and 2001.053,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comply with Section 26.008(a).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33.083(b-2), Education Code, as added by this Act, applies only to a meeting or hearing conducted by a district executive committee, the state executive committee, or any other committee of the University Interscholastic League commenced on or after the effective date of this Act. </w:t>
      </w:r>
      <w:r>
        <w:t xml:space="preserve"> </w:t>
      </w:r>
      <w:r>
        <w:t xml:space="preserve">A meeting or hearing commenced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