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88R14311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hearings conducted by the University Interscholastic League.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33, Education Code, is amended by adding Subchapter D-1 to read as follows:</w:t>
      </w:r>
    </w:p>
    <w:p w:rsidR="003F3435" w:rsidRDefault="0032493E">
      <w:pPr>
        <w:spacing w:line="480" w:lineRule="auto"/>
        <w:jc w:val="center"/>
      </w:pPr>
      <w:r>
        <w:rPr>
          <w:u w:val="single"/>
        </w:rPr>
        <w:t xml:space="preserve">SUBCHAPTER D-1.  UNIVERSITY INTERSCHOLASTIC LEAGUE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"League" means the University Interscholastic League.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council" means the governing body of the league that proposes, implements, and administers rules and procedures for the league as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33.126.</w:t>
      </w:r>
      <w:r>
        <w:rPr>
          <w:u w:val="single"/>
        </w:rPr>
        <w:t xml:space="preserve"> </w:t>
      </w:r>
      <w:r>
        <w:rPr>
          <w:u w:val="single"/>
        </w:rPr>
        <w:t xml:space="preserve"> </w:t>
      </w:r>
      <w:r>
        <w:rPr>
          <w:u w:val="single"/>
        </w:rPr>
        <w:t xml:space="preserve">CONSTITUTION AND CONTEST RULES.  (a)  The legislative council shall amend the league's constitution and contest rules as necessary to comply with this subchapter and submit the proposed amended constitution and rules to the commissioner for approval.  The commissioner may not approve a provision of the proposed constitution or a rule submitted by the league that conflicts with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league's constitution and contest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clearly describe the procedure, process, and timing for a hearing held by, the reconsideration of a decision made by, or an appeal taken from a decision made by the league's state executive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person or school district guidance for actions available following the exhaustion of administrative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33.127.</w:t>
      </w:r>
      <w:r>
        <w:rPr>
          <w:u w:val="single"/>
        </w:rPr>
        <w:t xml:space="preserve"> </w:t>
      </w:r>
      <w:r>
        <w:rPr>
          <w:u w:val="single"/>
        </w:rPr>
        <w:t xml:space="preserve"> </w:t>
      </w:r>
      <w:r>
        <w:rPr>
          <w:u w:val="single"/>
        </w:rPr>
        <w:t xml:space="preserve">STATE EXECUTIVE COMMITTEE DUTIES.  The state executive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accept any appeal taken from a decision of the district executive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impose a penalty until the penalty is reviewed and approved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33.128.</w:t>
      </w:r>
      <w:r>
        <w:rPr>
          <w:u w:val="single"/>
        </w:rPr>
        <w:t xml:space="preserve"> </w:t>
      </w:r>
      <w:r>
        <w:rPr>
          <w:u w:val="single"/>
        </w:rPr>
        <w:t xml:space="preserve"> </w:t>
      </w:r>
      <w:r>
        <w:rPr>
          <w:u w:val="single"/>
        </w:rPr>
        <w:t xml:space="preserve">LEAGUE CONTEST RULES.  The rules of the league shall, for any meeting or hearing by the district executive committee or state executive committee regarding a violation of league contest rules by a person or school district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burden of proof to be borne by the person alleging a violation or the district executive committee or state executive committee if the committee alleges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meeting or hearing to be audio and video recorded and made accessible through the league's Internet website not later than 24 hours after the end of the meeting or hearing;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district executive committee or state executive committee to provide written notice, including a list of any evidence or witnesses the committee intends to present at the hearing or meeting relating to the relevant violation, at least five business days before the date of any hearing or meeting to each person or campus involved in an alleged violation of league contest rules that will be discussed at the hearing or meeting;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investigation or use of an anonymous complaint by the district executive committee or state executive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testimony presented by a person or campus, the district executive committee, or the state executive committee, against a person or school district campus to be provided in person, under oath, and subject to cross-examination;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the extent practicable, require the application of the Texas Rules of Evidence to the meeting or hearing in the same manner those rules apply in a court of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district executive committee or state executive committee to ensure the presence of an attorney licensed in this state at each meeting and hearing to ensure compliance with applicable law and the league's constitution and contest rules;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permit a person or campus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represented by legal counsel;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on the person's or campus's own behalf or through legal counsel, including by allowing: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opening statements;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closing statements;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cross-examination of witnesses;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submission of and objections to evidence consistent with the Texas Rules of Evidence;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prohibit the district executive committee or state executive committee from setting a predetermined time limit on the duration of the meeting or hearing;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the district executive committee or state executive committee to include in any decision of the committee issued after a meeting or hearing written findings of fact addressing the witness testimony and any evidence presented.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33.129.</w:t>
      </w:r>
      <w:r>
        <w:rPr>
          <w:u w:val="single"/>
        </w:rPr>
        <w:t xml:space="preserve"> </w:t>
      </w:r>
      <w:r>
        <w:rPr>
          <w:u w:val="single"/>
        </w:rPr>
        <w:t xml:space="preserve"> </w:t>
      </w:r>
      <w:r>
        <w:rPr>
          <w:u w:val="single"/>
        </w:rPr>
        <w:t xml:space="preserve">SUBPOENA.  On the motion of any party to a hearing or meeting relating to an alleged violation of league contest rules, a district executive committee or the state executive committee may issue an administrative subpoena to compel the production of records relating to the hearing or meeting or the attendance of any person at the hearing or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D-1, Chapter 33, Education Code, as added by this Act, applies only to a meeting or hearing conducted by a district executive committee, the state executive committee, or any other committee of the University Interscholastic League commenced on or after the effective date of this Act.  A meeting or hearing commenced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