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88R14392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4464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a motor vehicle passing a person operating a bicycle;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545, Transportation Code, is amended by adding Section 545.0571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545.0571.</w:t>
      </w:r>
      <w:r>
        <w:rPr>
          <w:u w:val="single"/>
        </w:rPr>
        <w:t xml:space="preserve"> </w:t>
      </w:r>
      <w:r>
        <w:rPr>
          <w:u w:val="single"/>
        </w:rPr>
        <w:t xml:space="preserve"> </w:t>
      </w:r>
      <w:r>
        <w:rPr>
          <w:u w:val="single"/>
        </w:rPr>
        <w:t xml:space="preserve">MOTOR VEHICLE PASSING BICYCLE OPERATOR.  (a) </w:t>
      </w:r>
      <w:r>
        <w:rPr>
          <w:u w:val="single"/>
        </w:rPr>
        <w:t xml:space="preserve"> </w:t>
      </w:r>
      <w:r>
        <w:rPr>
          <w:u w:val="single"/>
        </w:rPr>
        <w:t xml:space="preserve">An operator of a motor vehicle shall exercise due care to avoid colliding with a person operating a bicycle on a highway or street.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Section 545.053(a), safe distance from any part of a bicycle is at least three feet.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purposes of Section 545.057(a), conditions permit safely passing a bicycle to the right only if the motor vehicle passes at least three feet from any part of the bicycle.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operator of a motor vehicle passing a person operating a bicycle on a highway or street that has two or more marked lanes running in the same direction shall move the motor vehicle to a lane other than the lane used by the bicycle operator while passing the bicycle operator.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Subsections (b), (c), and (d) do not apply when the bicycle is being operated in a designated bicycle lane.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It is an affirmative defense to prosecution under this section that at the time of the offense the bicycle operator was acting in violation of a traffic law in a manner that contributed to the offense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545.055, Transportation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an</w:t>
      </w:r>
      <w:r>
        <w:t xml:space="preserve"> [</w:t>
      </w:r>
      <w:r>
        <w:rPr>
          <w:strike/>
        </w:rPr>
        <w:t xml:space="preserve">An</w:t>
      </w:r>
      <w:r>
        <w:t xml:space="preserve">] operator may not drive on the left side of the roadway in a no-passing zone or on the left side of any pavement striping designed to mark a no-passing zone.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Subsection (b)</w:t>
      </w:r>
      <w:r>
        <w:t xml:space="preserve"> [</w:t>
      </w:r>
      <w:r>
        <w:rPr>
          <w:strike/>
        </w:rPr>
        <w:t xml:space="preserve">This subsection</w:t>
      </w:r>
      <w:r>
        <w:t xml:space="preserve">] does not prohibit a driver from</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crossing pavement striping, or the center line in a no-passing zone marked by signs only, to make a left turn into or out of an alley or private road or driveway</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passing a person operating a bicycle in a no-passing zone if the operator of the motor vehicle otherwise complies with the requirements of this chapter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