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88R1508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Isaac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 public school as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43.031(e),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polling place may not be located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a public primary or secondary school campus;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at the residence of a person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a candidate for an elective office, including an office of a political party;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related within the third degree by consanguinity or the second degree by affinity, as determined under Chapter 573, Government Code, to a candidate described by </w:t>
      </w:r>
      <w:r>
        <w:rPr>
          <w:u w:val="single"/>
        </w:rPr>
        <w:t xml:space="preserve">Paragraph (A)</w:t>
      </w:r>
      <w:r>
        <w:t xml:space="preserve"> [</w:t>
      </w:r>
      <w:r>
        <w:rPr>
          <w:strike/>
        </w:rPr>
        <w:t xml:space="preserve">Subdivision (1)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