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ad valorem tax rates by certain taxing units that participate in one or more reinvestment zones for tax increment financing.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26.03, Tax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 taxing unit in which a tax rate calculation for a tax year is affected by the application of this section, the adjustments to the value of property taxable by the unit and to the amount of taxes imposed or collected by the unit prescribed by this section shall be calculated separately for each reinvestment zone in which the taxing unit participates.  The comptroller shall ensure that the tax rate calculation forms prescribed under Section 5.07 provide for the calculations to be made in the manner required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