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4480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a criminal offense relating to making false statements or reports of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deceive, the person knowingly makes a report as provided in this chapter that is false. </w:t>
      </w:r>
      <w:r>
        <w:t xml:space="preserve"> </w:t>
      </w:r>
      <w:r>
        <w:t xml:space="preserve">An offense under this subsection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state jail felony</w:t>
      </w:r>
      <w:r>
        <w:rPr>
          <w:u w:val="single"/>
        </w:rP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unless it is shown on the trial of the offense that the person has previously been convicted under this section, in which case the offense is</w:t>
      </w:r>
      <w:r>
        <w:t xml:space="preserve">] a felony of the third degree </w:t>
      </w:r>
      <w:r>
        <w:rPr>
          <w:u w:val="single"/>
        </w:rPr>
        <w:t xml:space="preserve">if it is shown on the trial of the offense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previously been convicted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the offense because of bias or prejudice as described by Article 42.014, Code of Criminal Procedure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261.107(a), Family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