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88R24452 LRM-F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4483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4483: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4483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by the Texas A&amp;M Transportation Institute regarding the economic impact of navigation districts on  the state and local economies.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STUDY ON ECONOMIC IMPACT OF NAVIGATION DISTRICTS.  (a) </w:t>
      </w:r>
      <w:r>
        <w:t xml:space="preserve"> </w:t>
      </w:r>
      <w:r>
        <w:t xml:space="preserve">The Texas A&amp;M Transportation Institute shall conduct a study to examine the economic impact and potential for economic growth of navigation districts in this state. </w:t>
      </w:r>
      <w:r>
        <w:t xml:space="preserve"> </w:t>
      </w:r>
      <w:r>
        <w:t xml:space="preserve">The study shall determine: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direct economic impact of each navigation district on the economy of this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total population located in the boundaries of each navigation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projected economic growth over the next 10 years for each navigation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addition to the requirements of Subsection (a) of this section, the study shall determine the economic impact, population, and projected economic growth of each navigation district at the county level.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REPORT.  Not later than December 1, 2024, the Texas A&amp;M Transportation Institute shall submit to the lieutenant governor, the speaker of the house of representatives, and each member of the legislature a written report containing the results of the study under Section 1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 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4483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