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88R20947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eligible coastal municipalities for purposes of the municipal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351.001(3), Tax Code, is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r>
        <w:rPr>
          <w:u w:val="single"/>
        </w:rPr>
        <w:t xml:space="preserve">:</w:t>
      </w:r>
    </w:p>
    <w:p w:rsidR="003F3435" w:rsidRDefault="0032493E">
      <w:pPr>
        <w:spacing w:line="480" w:lineRule="auto"/>
        <w:ind w:firstLine="2160"/>
        <w:jc w:val="both"/>
      </w:pPr>
      <w:r>
        <w:rPr>
          <w:u w:val="single"/>
        </w:rPr>
        <w:t xml:space="preserve">(A)</w:t>
      </w:r>
      <w:r xml:space="preserve">
        <w:t> </w:t>
      </w:r>
      <w:r>
        <w:t xml:space="preserve">a home-rule municipality that borders on the Gulf of Mexico and has a population of less than 80,000</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that borders on the Gulf of Mexico and has a population of less than 1,500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