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88R13633 MCF-F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Gerdes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4495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certain counties to order the microchipping of dogs; providing a civil penalty.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822, Health and Safety Code, is amended by adding Subchapter F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F. </w:t>
      </w:r>
      <w:r>
        <w:rPr>
          <w:u w:val="single"/>
        </w:rPr>
        <w:t xml:space="preserve"> </w:t>
      </w:r>
      <w:r>
        <w:rPr>
          <w:u w:val="single"/>
        </w:rPr>
        <w:t xml:space="preserve">MICROCHIPPING OF DOGS IN CERTAIN COUNTIES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822.151.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APPLICABILITY.  This subchapter applies only to a county with a population of less than 50,000 that is: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located in a metropolitan statistical area as defined by the federal Office of Management and Budget with a population of more than two million;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adjacent to another metropolitan statistical area as defined by the federal Office of Management and Budget with a population of more than two million.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822.152.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ORDER TO MICROCHIP.  (a) </w:t>
      </w:r>
      <w:r>
        <w:rPr>
          <w:u w:val="single"/>
        </w:rPr>
        <w:t xml:space="preserve"> </w:t>
      </w:r>
      <w:r>
        <w:rPr>
          <w:u w:val="single"/>
        </w:rPr>
        <w:t xml:space="preserve">The commissioners court of a county may adopt an order requiring each dog regularly located in the county that is owned by a county resident to be microchipped. </w:t>
      </w:r>
      <w:r>
        <w:rPr>
          <w:u w:val="single"/>
        </w:rPr>
        <w:t xml:space="preserve"> </w:t>
      </w:r>
      <w:r>
        <w:rPr>
          <w:u w:val="single"/>
        </w:rPr>
        <w:t xml:space="preserve">The order must specify: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time the owner has to microchip the dog after becoming the owner;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exemption from the requirement to microchip, including any exemption for a dog temporarily located in the county or for a medical reason;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other matters the commissioners court finds appropriate.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another political subdivision located in the county adopts a microchipping requirement with more stringent standards than the county standards, the political subdivision's standards control within the political subdivision.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822.153.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CIVIL PENALTY.  (a) </w:t>
      </w:r>
      <w:r>
        <w:rPr>
          <w:u w:val="single"/>
        </w:rPr>
        <w:t xml:space="preserve"> </w:t>
      </w:r>
      <w:r>
        <w:rPr>
          <w:u w:val="single"/>
        </w:rPr>
        <w:t xml:space="preserve">A person who violates an order adopted under this subchapter is liable for a civil penalty of not more than $200.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county attorney of the county in which the violation occurs may sue to collect a civil penalty.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4495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