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88R8434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of Williamson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certain lighting equipment on motorcycles and mopeds.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547.306(b),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may operate a motorcycle or moped equipped with LED ground effect lighting that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emits a non-flashing [</w:t>
      </w:r>
      <w:r>
        <w:rPr>
          <w:strike/>
        </w:rPr>
        <w:t xml:space="preserve">amber or white</w:t>
      </w:r>
      <w:r>
        <w:t xml:space="preserve">] light </w:t>
      </w:r>
      <w:r>
        <w:rPr>
          <w:u w:val="single"/>
        </w:rPr>
        <w:t xml:space="preserve">of any color;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obstruct the vision of the operator or a person operating a passing motor vehicle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