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88R23942 SHH-F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4507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jurisdiction of county attorneys to prosecute the deceptive trade practice of price gouging during a declared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17.4625, Business &amp; Commerce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county attorney has concurrent jurisdiction with the attorney general to prosecute an action under Section 17.46(b)(27).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17.48(d), Business &amp; Commerce Code, is amended to read as follows:</w:t>
      </w:r>
    </w:p>
    <w:p w:rsidR="003F3435" w:rsidRDefault="0032493E">
      <w:pPr>
        <w:spacing w:line="480" w:lineRule="auto"/>
        <w:ind w:firstLine="720"/>
        <w:jc w:val="both"/>
      </w:pPr>
      <w:r>
        <w:t xml:space="preserve">(d)</w:t>
      </w:r>
      <w:r xml:space="preserve">
        <w:t> </w:t>
      </w:r>
      <w:r xml:space="preserve">
        <w:t> </w:t>
      </w:r>
      <w:r>
        <w:t xml:space="preserve">A district or county attorney is not required to obtain the permission of the consumer protection division to prosecute an action under this subchapter for a violation of Section 17.46(b)(28), if the district or county attorney provides prior written notice to the division as required by Subsection (b).  </w:t>
      </w:r>
      <w:r>
        <w:rPr>
          <w:u w:val="single"/>
        </w:rPr>
        <w:t xml:space="preserve">A county attorney is not required to obtain the permission of the consumer protection division to prosecute an action under this subchapter for a violation of Section 17.46(b)(27), if the county attorney provides prior written notice to the division as required by Subsection (b).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cause of action that accrues on or after the effective date of this Act.  A cause of action that accrues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