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county attorneys to file price gouging lawsuits in a declared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Business &amp; Commerce Code, is amended by adding Section 17.46a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17.46a.</w:t>
      </w:r>
      <w:r>
        <w:rPr>
          <w:u w:val="single"/>
        </w:rPr>
        <w:t xml:space="preserve"> </w:t>
      </w:r>
      <w:r>
        <w:rPr>
          <w:u w:val="single"/>
        </w:rPr>
        <w:t xml:space="preserve"> </w:t>
      </w:r>
      <w:r>
        <w:rPr>
          <w:u w:val="single"/>
        </w:rPr>
        <w:t xml:space="preserve">COUNTY ATTORNEY AUTHORITY TO FILE ACTION REGARDING PRICE GOUGING IN A DECLARED EMERGENCY. A county attorney has concurrent jurisdiction with the attorney general to pursue an action under Sec. 17.46(b)(27).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17.46a, Business &amp; Commerce Code, as added by this Act, does not apply to a cause of action that accrued before the effective date of this Act.</w:t>
      </w:r>
      <w:r>
        <w:t xml:space="preserve"> A cause of action that accrued before the effective date of this Act is governed by the law applicable to the cause of action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