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88R2907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4509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criminal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Penal Code, is amended by adding Section 15.032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15.032.</w:t>
      </w:r>
      <w:r>
        <w:rPr>
          <w:u w:val="single"/>
        </w:rPr>
        <w:t xml:space="preserve"> </w:t>
      </w:r>
      <w:r>
        <w:rPr>
          <w:u w:val="single"/>
        </w:rPr>
        <w:t xml:space="preserve"> </w:t>
      </w:r>
      <w:r>
        <w:rPr>
          <w:u w:val="single"/>
        </w:rPr>
        <w:t xml:space="preserve">CHILD GROOMING.  (a)  A person commits an offense if, with the intent that an offense under Chapter 43 or an offense involving sexual activity, the occurrence of which would subject the actor to criminal liability under Chapter 20A, 21, or 22,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an offense under Chapter 43 or an offense involving sexual activity the occurrence of which would subject the actor to criminal liability under Chapter 20A, 21, or 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child a party to the commission of an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20A, if the offense involved conduct described by Section 20A.02(a)(7)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21.02;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21.11;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if the victim of the offense was a child under 18 years of age;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if the victim of the offense was a child under 18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the actor is under the age of 18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engaged in conduct described by Subsection (a) with respect to another child under the age of 18: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was the spouse of the actor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occurred only between the actor and the other child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