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88R14484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4513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an individual, before purchasing real property to be used as the individual's residence homestead, to request from the chief appraiser of the applicable appraisal district a preliminary determination of whether the property would qualify for a disabled veteran exemption if purchased by the individual and used for that purpose.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11, Tax Code, is amended by adding Section 11.4385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11.4385.</w:t>
      </w:r>
      <w:r>
        <w:rPr>
          <w:u w:val="single"/>
        </w:rPr>
        <w:t xml:space="preserve"> </w:t>
      </w:r>
      <w:r>
        <w:rPr>
          <w:u w:val="single"/>
        </w:rPr>
        <w:t xml:space="preserve"> </w:t>
      </w:r>
      <w:r>
        <w:rPr>
          <w:u w:val="single"/>
        </w:rPr>
        <w:t xml:space="preserve">APPLICATION FOR EXEMPTION BY 100 PERCENT OR TOTALLY DISABLED VETERAN.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"Disabled veteran" has the meaning assigned by Section 11.22.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"Mortgage company" has the meaning assigned by Section 156.002, Finance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"Residence homestead" has the meaning assigned by Section 11.13.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"Title insurance company" has the meaning assigned by Section 2501.003, Insurance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facilitate the financing associated with the purchase of real property to be used as the individual's residence homestead, a disabled veteran, before purchasing the property, may request from the chief appraiser of the appraisal district established for the county in which the property is located a preliminary determination of whether the property would qualify for an exemption under Section 11.131 if purchased by the disabled veteran and occupied by the disabled veteran as the disabled veteran's primary residence. </w:t>
      </w:r>
      <w:r>
        <w:rPr>
          <w:u w:val="single"/>
        </w:rPr>
        <w:t xml:space="preserve"> </w:t>
      </w:r>
      <w:r>
        <w:rPr>
          <w:u w:val="single"/>
        </w:rPr>
        <w:t xml:space="preserve">The request must include the information that would be included in an application for an exemption for the property under Section 11.131.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a request is submitted under this section, the chief appraiser shall issue a written preliminary determination for the property included in the request. </w:t>
      </w:r>
      <w:r>
        <w:rPr>
          <w:u w:val="single"/>
        </w:rPr>
        <w:t xml:space="preserve"> </w:t>
      </w:r>
      <w:r>
        <w:rPr>
          <w:u w:val="single"/>
        </w:rPr>
        <w:t xml:space="preserve">A preliminary determination does not affect the granting of an exemption under Section 11.131.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mortgage company or title insurance company that receives from a purchaser of real property a written preliminary determination issued under this section shall consider the effect of the preliminary determination: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determining whether to extend credit to the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due from the purchaser at closing.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