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88R14354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4518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court to grant a motion for resentencing in certain criminal cases.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 Code of Criminal Procedure, is amended by adding Chapter 41 to read as follows:</w:t>
      </w:r>
    </w:p>
    <w:p w:rsidR="003F3435" w:rsidRDefault="0032493E">
      <w:pPr>
        <w:spacing w:line="480" w:lineRule="auto"/>
        <w:jc w:val="center"/>
      </w:pPr>
      <w:r>
        <w:rPr>
          <w:u w:val="single"/>
        </w:rPr>
        <w:t xml:space="preserve">CHAPTER 41. </w:t>
      </w:r>
      <w:r>
        <w:rPr>
          <w:u w:val="single"/>
        </w:rPr>
        <w:t xml:space="preserve"> </w:t>
      </w:r>
      <w:r>
        <w:rPr>
          <w:u w:val="single"/>
        </w:rPr>
        <w:t xml:space="preserve">RESENTENCING</w:t>
      </w:r>
    </w:p>
    <w:p w:rsidR="003F3435" w:rsidRDefault="0032493E">
      <w:pPr>
        <w:spacing w:line="480" w:lineRule="auto"/>
        <w:ind w:firstLine="720"/>
        <w:jc w:val="both"/>
      </w:pPr>
      <w:r>
        <w:rPr>
          <w:u w:val="single"/>
        </w:rPr>
        <w:t xml:space="preserve">Art.</w:t>
      </w:r>
      <w:r>
        <w:rPr>
          <w:u w:val="single"/>
        </w:rPr>
        <w:t xml:space="preserve"> </w:t>
      </w:r>
      <w:r>
        <w:rPr>
          <w:u w:val="single"/>
        </w:rPr>
        <w:t xml:space="preserve">41.001.</w:t>
      </w:r>
      <w:r>
        <w:rPr>
          <w:u w:val="single"/>
        </w:rPr>
        <w:t xml:space="preserve"> </w:t>
      </w:r>
      <w:r>
        <w:rPr>
          <w:u w:val="single"/>
        </w:rPr>
        <w:t xml:space="preserve"> </w:t>
      </w:r>
      <w:r>
        <w:rPr>
          <w:u w:val="single"/>
        </w:rPr>
        <w:t xml:space="preserve">RESENTENCING ON MOTION BY AGREEMENT OF PARTIES.  (a) </w:t>
      </w:r>
      <w:r>
        <w:rPr>
          <w:u w:val="single"/>
        </w:rPr>
        <w:t xml:space="preserve"> </w:t>
      </w:r>
      <w:r>
        <w:rPr>
          <w:u w:val="single"/>
        </w:rPr>
        <w:t xml:space="preserve">In this article, "attorney representing the state" means a district attorney, a criminal district attorney, or a county attorney with criminal jurisdiction.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article does not apply to an inmate who is serving a sentence for an offense listed in Article 42A.054(a) or for which the judgment contains an affirmative finding under Article 42A.054(c) or (d).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at any time during the period of a term of imprisonment, an inmate may, with the written consent of the attorney representing the state, file a motion for resentencing with the convicting court. </w:t>
      </w:r>
      <w:r>
        <w:rPr>
          <w:u w:val="single"/>
        </w:rPr>
        <w:t xml:space="preserve"> </w:t>
      </w:r>
      <w:r>
        <w:rPr>
          <w:u w:val="single"/>
        </w:rPr>
        <w:t xml:space="preserve">The motion must include an agreed statement of facts for the court to consider.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may, after a hearing, grant a motion for resentencing in the interest of justice. </w:t>
      </w:r>
      <w:r>
        <w:rPr>
          <w:u w:val="single"/>
        </w:rPr>
        <w:t xml:space="preserve"> </w:t>
      </w:r>
      <w:r>
        <w:rPr>
          <w:u w:val="single"/>
        </w:rPr>
        <w:t xml:space="preserve">The court may rely on the agreed statement of facts in granting the motion, and the agreed statement may constitute the entire record in the cause.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Neither the attorney representing the state nor the inmate is entitled to appeal the court's decision to deny a motion for resentencing.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attorney representing the state may condition the attorney's consent to a motion for resentencing on any appropriate reason, including a requirement that the inmate: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a specific punishment;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waive the inmate's parole eligibility as part of any punishment agreement;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waive the inmate's right to appeal.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Until the court has granted the motion under this article, the inmate may withdraw the motion or the attorney representing the state may withdraw consent to the motion.  If the motion or consent is withdrawn, the court is prohibited from granting a resentencing in the case based on that motion.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determining whether to grant the motion, the court may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inmate's disciplinary record and record of rehabilitation while imprisoned;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 that reflects whether the inmate's age, time served, or diminished physical condition has reduced the inmate's risk for committing an offense in the future;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evidence that reflects any change in the inmate's circumstances since the original sentencing such that the inmate's continued imprisonment is no longer in the interest of justice.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court grants the motion, the court may reduce the sentence, including by reducing the sentence to time served and ordering the inmate's immediate release.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Notwithstanding any other law, if at the time of resentencing, the minimum punishment for the offense is less than that in effect at the time of the offense, the court may reduce an inmate's sentence to a term that is less than the statutory minimum for the offense that existed at the time of the offense.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court may not increase a sentence under this article.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Texas Rules of Appellate Procedure apply to all hearings and orders under this article.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January 1, 2024, but only if the constitutional amendment proposed by the 88th Legislature, Regular Session, 2023, authorizing the legislature to enact laws providing for a court to grant a commutation of punishment to certain individuals serving a term of imprisonment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