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88R25373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Bhojani, Cole, Lambert, Isaac,</w:t>
      </w:r>
      <w:r xml:space="preserve">
        <w:tab wTab="150" tlc="none" cTlc="0"/>
      </w:r>
      <w:r>
        <w:t xml:space="preserve">H.B.</w:t>
      </w:r>
      <w:r xml:space="preserve">
        <w:t> </w:t>
      </w:r>
      <w:r>
        <w:t xml:space="preserve">No.</w:t>
      </w:r>
      <w:r xml:space="preserve">
        <w:t> </w:t>
      </w:r>
      <w:r>
        <w:t xml:space="preserve">4524</w:t>
      </w:r>
    </w:p>
    <w:p w:rsidR="003F3435" w:rsidRDefault="0032493E">
      <w:pPr>
        <w:jc w:val="both"/>
      </w:pPr>
      <w:r xml:space="preserve">
        <w:t> </w:t>
      </w:r>
      <w:r xml:space="preserve">
        <w:t> </w:t>
      </w:r>
      <w:r xml:space="preserve">
        <w:t> </w:t>
      </w:r>
      <w:r xml:space="preserve">
        <w:t> </w:t>
      </w:r>
      <w:r xml:space="preserve">
        <w:t> </w:t>
      </w:r>
      <w:r>
        <w:t xml:space="preserve">Neave Criado</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4524:</w:t>
      </w:r>
    </w:p>
    <w:p w:rsidR="003F3435" w:rsidRDefault="0032493E">
      <w:pPr>
        <w:spacing w:line="480" w:lineRule="auto"/>
        <w:jc w:val="both"/>
        <w:tabs>
          <w:tab w:val="right" w:leader="none" w:pos="9350"/>
        </w:tabs>
      </w:pPr>
      <w:r>
        <w:t xml:space="preserve">By:</w:t>
      </w:r>
      <w:r xml:space="preserve">
        <w:t> </w:t>
      </w:r>
      <w:r xml:space="preserve">
        <w:t> </w:t>
      </w:r>
      <w:r>
        <w:t xml:space="preserve">González of Dallas</w:t>
      </w:r>
      <w:r xml:space="preserve">
        <w:tab wTab="150" tlc="none" cTlc="0"/>
      </w:r>
      <w:r>
        <w:t xml:space="preserve">C.S.H.B.</w:t>
      </w:r>
      <w:r xml:space="preserve">
        <w:t> </w:t>
      </w:r>
      <w:r>
        <w:t xml:space="preserve">No.</w:t>
      </w:r>
      <w:r xml:space="preserve">
        <w:t> </w:t>
      </w:r>
      <w:r>
        <w:t xml:space="preserve">4524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conducting certain medical examinations using telemedicine under the workers' compensation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408.0041, Labor Code, is amended by adding Subsection (d-1)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In this subsection, "telehealth services" and "telemedicine medical services" have the meanings assigned by Section 111.001, Occupations Code.  The commissioner may order an examination under this section to be conducted using telehealth services or telemedicine medical services if the commissioner determines conducting the examination in that manner is necessary to ensure access to a timely examination by a qualified doctor.  During an examination conducted using telehealth services or telemedicine medical services under this subsection, a health care professional must be physically present in the room in which the employee is located to assist in conducting the examination and administering any necessary testing.  The commissioner may adopt rules related to examinations performed using telehealth services or telemedicine medical services under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G, Chapter 408, Labor Code, is amended by adding Section 408.1231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408.1231.</w:t>
      </w:r>
      <w:r>
        <w:rPr>
          <w:u w:val="single"/>
        </w:rPr>
        <w:t xml:space="preserve"> </w:t>
      </w:r>
      <w:r>
        <w:rPr>
          <w:u w:val="single"/>
        </w:rPr>
        <w:t xml:space="preserve"> </w:t>
      </w:r>
      <w:r>
        <w:rPr>
          <w:u w:val="single"/>
        </w:rPr>
        <w:t xml:space="preserve">CONDUCTING CERTAIN MEDICAL EXAMINATIONS USING TELEHEALTH SERVICES OR TELEMEDICINE MEDICAL SERVICES.  (a)  In this section, "telehealth services" and "telemedicine medical services" have the meanings assigned by Section 111.001,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employee's treating doctor or another doctor authorized by the division to certify maximum medical improvement or assign an impairment rating under Section 408.123 may certify maximum medical improvement or assign an impairment rating during a medical examination performed by the doctor using telehealth services or telemedicine medical services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examination is of a musculoskeletal injury or diagnosis involving: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hand or upper extremities;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foot, including toes and heel;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spine and musculoskeletal structures of the torso;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commissioner determines there is good cause to conduct the examination using telehealth services or telemedicine medical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During an examination conducted using telehealth services or telemedicine medical services under Subsection (b), a health care professional must be physically present in the room in which the employee is located to assist in conducting the examination and administering any necessary testing unless a doctor: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determined that the employee is not at maximum medical improvement;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certified maximum medical improvement during an examination and based on the examination concluded there was no possibility of impairment.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rules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408.0041, Labor Code, as amended by this Act, and Section 408.1231, Labor Code, as added by this Act, apply only to a medical examination conducted on or after the effective date of this Act.  A medical examination conducted before that date is governed by the law in effect on the date the examination was conducted,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4524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