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408.123, Labor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medical examination conducted to certify maximum medical improvement or assign an impairment rating may be performed using telehealth services or telemedicine medical services, as defined by Section 111.001, Occupations Code. </w:t>
      </w:r>
      <w:r>
        <w:rPr>
          <w:u w:val="single"/>
        </w:rPr>
        <w:t xml:space="preserve"> </w:t>
      </w:r>
      <w:r>
        <w:rPr>
          <w:u w:val="single"/>
        </w:rPr>
        <w:t xml:space="preserve">Except as provided by Subsection (j), a health care professional must be physically present in the room in which the employee is located to assist the certifying doctor in conducting the examination and administering any necessary testing. </w:t>
      </w:r>
      <w:r>
        <w:rPr>
          <w:u w:val="single"/>
        </w:rPr>
        <w:t xml:space="preserve"> </w:t>
      </w:r>
      <w:r>
        <w:rPr>
          <w:u w:val="single"/>
        </w:rPr>
        <w:t xml:space="preserve">For purposes of this subsection, "health care professional" means an individual licensed, certified, or otherwise authorized to administer health care, for profit or otherwise, in the ordinary course of business or professional practice.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professional is not required to be physically present in the room in which the patient is located during a medical examination performed using telehealth services or telemedicine medical services as provided by Subsection (i) that is conducted to assign an impairment rating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doctor certified maximum medical improvement during an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examination described by Subdivision (1), the doctor concluded there was no possibility of impairment.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408.123(i) and (j), Labor Code, as added by this Act, apply only to a medical examination to certify an employee's maximum medical improvement or assign an employee's impairment rating conducted on or after the effective date of this Act. </w:t>
      </w:r>
      <w:r>
        <w:t xml:space="preserve"> </w:t>
      </w:r>
      <w:r>
        <w:t xml:space="preserve">A medical examination conducted before the effective date of this Act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