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2023S0035-1  01/17/23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4525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school district use of relocatable educational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11, Education Code, is amended by adding Section 11.005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11.005.</w:t>
      </w:r>
      <w:r>
        <w:rPr>
          <w:u w:val="single"/>
        </w:rPr>
        <w:t xml:space="preserve"> </w:t>
      </w:r>
      <w:r>
        <w:rPr>
          <w:u w:val="single"/>
        </w:rPr>
        <w:t xml:space="preserve"> </w:t>
      </w:r>
      <w:r>
        <w:rPr>
          <w:u w:val="single"/>
        </w:rPr>
        <w:t xml:space="preserve">USE OF RELOCATABLE EDUCATIONAL FACILITIES.  (a)  In this section, "relocatable educational facility" has the meaning assigned by Section 1202.004,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school district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district's administrative offices are located in a building that is not a relocatable educational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 instruction takes place in a relocatable educational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subject to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move the district's administrative offices to a relocatable educational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convert the building in which the district's administrative offices were located into classrooms for student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