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88R12776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4526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requirements for a license to carry a handgun.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411.174(a),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license to carry a handgun must submit to the director's designee described by Section 411.176:</w:t>
      </w:r>
    </w:p>
    <w:p w:rsidR="003F3435" w:rsidRDefault="0032493E">
      <w:pPr>
        <w:spacing w:line="480" w:lineRule="auto"/>
        <w:ind w:firstLine="1440"/>
        <w:jc w:val="both"/>
      </w:pPr>
      <w:r>
        <w:t xml:space="preserve">(1)</w:t>
      </w:r>
      <w:r xml:space="preserve">
        <w:t> </w:t>
      </w:r>
      <w:r xml:space="preserve">
        <w:t> </w:t>
      </w:r>
      <w:r>
        <w:t xml:space="preserve">a completed application on a form provided by the department that requires only the information listed in Subsection (b);</w:t>
      </w:r>
    </w:p>
    <w:p w:rsidR="003F3435" w:rsidRDefault="0032493E">
      <w:pPr>
        <w:spacing w:line="480" w:lineRule="auto"/>
        <w:ind w:firstLine="1440"/>
        <w:jc w:val="both"/>
      </w:pPr>
      <w:r>
        <w:t xml:space="preserve">(2)</w:t>
      </w:r>
      <w:r xml:space="preserve">
        <w:t> </w:t>
      </w:r>
      <w:r xml:space="preserve">
        <w:t> </w:t>
      </w:r>
      <w:r>
        <w:t xml:space="preserve">one or more photographs of the applicant that meet the requirements of the department;</w:t>
      </w:r>
    </w:p>
    <w:p w:rsidR="003F3435" w:rsidRDefault="0032493E">
      <w:pPr>
        <w:spacing w:line="480" w:lineRule="auto"/>
        <w:ind w:firstLine="1440"/>
        <w:jc w:val="both"/>
      </w:pPr>
      <w:r>
        <w:t xml:space="preserve">(3)</w:t>
      </w:r>
      <w:r xml:space="preserve">
        <w:t> </w:t>
      </w:r>
      <w:r xml:space="preserve">
        <w:t> </w:t>
      </w:r>
      <w:r>
        <w:t xml:space="preserve">a certified copy of the applicant's birth certificate or certified proof of age;</w:t>
      </w:r>
    </w:p>
    <w:p w:rsidR="003F3435" w:rsidRDefault="0032493E">
      <w:pPr>
        <w:spacing w:line="480" w:lineRule="auto"/>
        <w:ind w:firstLine="1440"/>
        <w:jc w:val="both"/>
      </w:pPr>
      <w:r>
        <w:t xml:space="preserve">(4)</w:t>
      </w:r>
      <w:r xml:space="preserve">
        <w:t> </w:t>
      </w:r>
      <w:r xml:space="preserve">
        <w:t> </w:t>
      </w:r>
      <w:r>
        <w:t xml:space="preserve">proof of residency in this state;</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two complete sets of legible and classifiable fingerprints of the applicant taken by a person appropriately trained in recording fingerprints who is employed by a law enforcement agency or by a private entity designated by a law enforcement agency as an entity qualified to take fingerprints of an applicant for a license under this subchapter;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a nonrefundable application and license fee of $40 paid to the department;</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evidence of handgun proficiency, in the form and manner required by the department;</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an affidavit signed by the applicant stating that the applicant:</w:t>
      </w:r>
    </w:p>
    <w:p w:rsidR="003F3435" w:rsidRDefault="0032493E">
      <w:pPr>
        <w:spacing w:line="480" w:lineRule="auto"/>
        <w:ind w:firstLine="2160"/>
        <w:jc w:val="both"/>
      </w:pPr>
      <w:r>
        <w:t xml:space="preserve">(A)</w:t>
      </w:r>
      <w:r xml:space="preserve">
        <w:t> </w:t>
      </w:r>
      <w:r xml:space="preserve">
        <w:t> </w:t>
      </w:r>
      <w:r>
        <w:t xml:space="preserve">has read and understands each provision of this subchapter that creates an offense under the laws of this state and each provision of the laws of this state related to use of deadly force; and</w:t>
      </w:r>
    </w:p>
    <w:p w:rsidR="003F3435" w:rsidRDefault="0032493E">
      <w:pPr>
        <w:spacing w:line="480" w:lineRule="auto"/>
        <w:ind w:firstLine="2160"/>
        <w:jc w:val="both"/>
      </w:pPr>
      <w:r>
        <w:t xml:space="preserve">(B)</w:t>
      </w:r>
      <w:r xml:space="preserve">
        <w:t> </w:t>
      </w:r>
      <w:r xml:space="preserve">
        <w:t> </w:t>
      </w:r>
      <w:r>
        <w:t xml:space="preserve">fulfills all the eligibility requirements listed under Section 411.172;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a form executed by the applicant that authorizes the director to make an inquiry into any noncriminal history records that are necessary to determine the applicant's eligibility for a license under Section 411.172(a).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411.176(b),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director's designee as needed shall conduct an additional criminal history record check of the applicant and an investigation of the applicant's local official records to verify the accuracy of the application materials. </w:t>
      </w:r>
      <w:r>
        <w:t xml:space="preserve"> </w:t>
      </w:r>
      <w:r>
        <w:t xml:space="preserve">The director's designee may access any records necessary for purposes of this subsection. </w:t>
      </w:r>
      <w:r>
        <w:t xml:space="preserve"> </w:t>
      </w:r>
      <w:r>
        <w:t xml:space="preserve">The scope of the record check and the investigation are at the sole discretion of the department, except that the director's designee shall complete the record check and investigation not later than the 60th day after the date the department receives the application materials. </w:t>
      </w:r>
      <w:r>
        <w:t xml:space="preserve"> </w:t>
      </w:r>
      <w:r>
        <w:t xml:space="preserve">The department shall </w:t>
      </w:r>
      <w:r>
        <w:rPr>
          <w:u w:val="single"/>
        </w:rPr>
        <w:t xml:space="preserve">contact</w:t>
      </w:r>
      <w:r>
        <w:t xml:space="preserve"> [</w:t>
      </w:r>
      <w:r>
        <w:rPr>
          <w:strike/>
        </w:rPr>
        <w:t xml:space="preserve">send a fingerprint card to</w:t>
      </w:r>
      <w:r>
        <w:t xml:space="preserve">] the Federal Bureau of Investigation </w:t>
      </w:r>
      <w:r>
        <w:rPr>
          <w:u w:val="single"/>
        </w:rPr>
        <w:t xml:space="preserve">to obtain</w:t>
      </w:r>
      <w:r>
        <w:t xml:space="preserve"> [</w:t>
      </w:r>
      <w:r>
        <w:rPr>
          <w:strike/>
        </w:rPr>
        <w:t xml:space="preserve">for</w:t>
      </w:r>
      <w:r>
        <w:t xml:space="preserve">] a national criminal history check of the applicant. </w:t>
      </w:r>
      <w:r>
        <w:t xml:space="preserve"> </w:t>
      </w:r>
      <w:r>
        <w:t xml:space="preserve">On completion of the investigation, the director's designee shall return all materials and the result of the investigation to the appropriate division of the department at its Austin headquarters.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411.199(b),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person shall submit [</w:t>
      </w:r>
      <w:r>
        <w:rPr>
          <w:strike/>
        </w:rPr>
        <w:t xml:space="preserve">two complete sets of legible and classifiable fingerprints and</w:t>
      </w:r>
      <w:r>
        <w:t xml:space="preserve">] a sworn statement from the head of the law enforcement agency that employed the applicant or other former employer of the applicant, as applicable. </w:t>
      </w:r>
      <w:r>
        <w:t xml:space="preserve"> </w:t>
      </w:r>
      <w:r>
        <w:t xml:space="preserve">A head of a law enforcement agency or other former employer may not refuse to issue a statement under this subsection. </w:t>
      </w:r>
      <w:r>
        <w:t xml:space="preserve"> </w:t>
      </w:r>
      <w:r>
        <w:t xml:space="preserve">If the applicant alleges that the statement is untrue, the department shall investigate the validity of the statement. </w:t>
      </w:r>
      <w:r>
        <w:t xml:space="preserve">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name and rank of the applicant;</w:t>
      </w:r>
    </w:p>
    <w:p w:rsidR="003F3435" w:rsidRDefault="0032493E">
      <w:pPr>
        <w:spacing w:line="480" w:lineRule="auto"/>
        <w:ind w:firstLine="1440"/>
        <w:jc w:val="both"/>
      </w:pPr>
      <w:r>
        <w:t xml:space="preserve">(2)</w:t>
      </w:r>
      <w:r xml:space="preserve">
        <w:t> </w:t>
      </w:r>
      <w:r xml:space="preserve">
        <w:t> </w:t>
      </w:r>
      <w:r>
        <w:t xml:space="preserve">the status of the applicant before retirement;</w:t>
      </w:r>
    </w:p>
    <w:p w:rsidR="003F3435" w:rsidRDefault="0032493E">
      <w:pPr>
        <w:spacing w:line="480" w:lineRule="auto"/>
        <w:ind w:firstLine="1440"/>
        <w:jc w:val="both"/>
      </w:pPr>
      <w:r>
        <w:t xml:space="preserve">(3)</w:t>
      </w:r>
      <w:r xml:space="preserve">
        <w:t> </w:t>
      </w:r>
      <w:r xml:space="preserve">
        <w:t> </w:t>
      </w:r>
      <w:r>
        <w:t xml:space="preserve">whether the applicant was accused of misconduct at the time of the retirement;</w:t>
      </w:r>
    </w:p>
    <w:p w:rsidR="003F3435" w:rsidRDefault="0032493E">
      <w:pPr>
        <w:spacing w:line="480" w:lineRule="auto"/>
        <w:ind w:firstLine="1440"/>
        <w:jc w:val="both"/>
      </w:pPr>
      <w:r>
        <w:t xml:space="preserve">(4)</w:t>
      </w:r>
      <w:r xml:space="preserve">
        <w:t> </w:t>
      </w:r>
      <w:r xml:space="preserve">
        <w:t> </w:t>
      </w:r>
      <w:r>
        <w:t xml:space="preserve">the physical and mental condition of the applicant;</w:t>
      </w:r>
    </w:p>
    <w:p w:rsidR="003F3435" w:rsidRDefault="0032493E">
      <w:pPr>
        <w:spacing w:line="480" w:lineRule="auto"/>
        <w:ind w:firstLine="1440"/>
        <w:jc w:val="both"/>
      </w:pPr>
      <w:r>
        <w:t xml:space="preserve">(5)</w:t>
      </w:r>
      <w:r xml:space="preserve">
        <w:t> </w:t>
      </w:r>
      <w:r xml:space="preserve">
        <w:t> </w:t>
      </w:r>
      <w:r>
        <w:t xml:space="preserve">the type of weapons the applicant had demonstrated proficiency with during the last year of employment;</w:t>
      </w:r>
    </w:p>
    <w:p w:rsidR="003F3435" w:rsidRDefault="0032493E">
      <w:pPr>
        <w:spacing w:line="480" w:lineRule="auto"/>
        <w:ind w:firstLine="1440"/>
        <w:jc w:val="both"/>
      </w:pPr>
      <w:r>
        <w:t xml:space="preserve">(6)</w:t>
      </w:r>
      <w:r xml:space="preserve">
        <w:t> </w:t>
      </w:r>
      <w:r xml:space="preserve">
        <w:t> </w:t>
      </w:r>
      <w:r>
        <w:t xml:space="preserve">whether the applicant would be eligible for reemployment with the agency or employer, and if not, the reasons the applicant is not eligible;</w:t>
      </w:r>
    </w:p>
    <w:p w:rsidR="003F3435" w:rsidRDefault="0032493E">
      <w:pPr>
        <w:spacing w:line="480" w:lineRule="auto"/>
        <w:ind w:firstLine="1440"/>
        <w:jc w:val="both"/>
      </w:pPr>
      <w:r>
        <w:t xml:space="preserve">(7)</w:t>
      </w:r>
      <w:r xml:space="preserve">
        <w:t> </w:t>
      </w:r>
      <w:r xml:space="preserve">
        <w:t> </w:t>
      </w:r>
      <w:r>
        <w:t xml:space="preserve">a recommendation from the agency head or the employer regarding the issuance of a license under this subchapter; and</w:t>
      </w:r>
    </w:p>
    <w:p w:rsidR="003F3435" w:rsidRDefault="0032493E">
      <w:pPr>
        <w:spacing w:line="480" w:lineRule="auto"/>
        <w:ind w:firstLine="1440"/>
        <w:jc w:val="both"/>
      </w:pPr>
      <w:r>
        <w:t xml:space="preserve">(8)</w:t>
      </w:r>
      <w:r xml:space="preserve">
        <w:t> </w:t>
      </w:r>
      <w:r xml:space="preserve">
        <w:t> </w:t>
      </w:r>
      <w:r>
        <w:t xml:space="preserve">whether the applicant holds a current certificate of proficiency under Section 1701.357, Occupations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411.1992(b),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applicant shall submit to the department [</w:t>
      </w:r>
      <w:r>
        <w:rPr>
          <w:strike/>
        </w:rPr>
        <w:t xml:space="preserve">two complete sets of legible and classifiable fingerprints and</w:t>
      </w:r>
      <w:r>
        <w:t xml:space="preserve">] a sworn statement from the head of the law enforcement agency at which the applicant last served as a reserve law enforcement officer. </w:t>
      </w:r>
      <w:r>
        <w:t xml:space="preserve"> </w:t>
      </w:r>
      <w:r>
        <w:t xml:space="preserve">A head of a law enforcement agency may not refuse to issue a statement under this subsection. </w:t>
      </w:r>
      <w:r>
        <w:t xml:space="preserve"> </w:t>
      </w:r>
      <w:r>
        <w:t xml:space="preserve">If the applicant alleges that the statement is untrue, the department shall investigate the validity of the statement. </w:t>
      </w:r>
      <w:r>
        <w:t xml:space="preserve">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name and rank of the applicant;</w:t>
      </w:r>
    </w:p>
    <w:p w:rsidR="003F3435" w:rsidRDefault="0032493E">
      <w:pPr>
        <w:spacing w:line="480" w:lineRule="auto"/>
        <w:ind w:firstLine="1440"/>
        <w:jc w:val="both"/>
      </w:pPr>
      <w:r>
        <w:t xml:space="preserve">(2)</w:t>
      </w:r>
      <w:r xml:space="preserve">
        <w:t> </w:t>
      </w:r>
      <w:r xml:space="preserve">
        <w:t> </w:t>
      </w:r>
      <w:r>
        <w:t xml:space="preserve">the status of the applicant;</w:t>
      </w:r>
    </w:p>
    <w:p w:rsidR="003F3435" w:rsidRDefault="0032493E">
      <w:pPr>
        <w:spacing w:line="480" w:lineRule="auto"/>
        <w:ind w:firstLine="1440"/>
        <w:jc w:val="both"/>
      </w:pPr>
      <w:r>
        <w:t xml:space="preserve">(3)</w:t>
      </w:r>
      <w:r xml:space="preserve">
        <w:t> </w:t>
      </w:r>
      <w:r xml:space="preserve">
        <w:t> </w:t>
      </w:r>
      <w:r>
        <w:t xml:space="preserve">whether the applicant was accused of misconduct at any time during the applicant's term of service and the disposition of that accusation;</w:t>
      </w:r>
    </w:p>
    <w:p w:rsidR="003F3435" w:rsidRDefault="0032493E">
      <w:pPr>
        <w:spacing w:line="480" w:lineRule="auto"/>
        <w:ind w:firstLine="1440"/>
        <w:jc w:val="both"/>
      </w:pPr>
      <w:r>
        <w:t xml:space="preserve">(4)</w:t>
      </w:r>
      <w:r xml:space="preserve">
        <w:t> </w:t>
      </w:r>
      <w:r xml:space="preserve">
        <w:t> </w:t>
      </w:r>
      <w:r>
        <w:t xml:space="preserve">a description of the physical and mental condition of the applicant;</w:t>
      </w:r>
    </w:p>
    <w:p w:rsidR="003F3435" w:rsidRDefault="0032493E">
      <w:pPr>
        <w:spacing w:line="480" w:lineRule="auto"/>
        <w:ind w:firstLine="1440"/>
        <w:jc w:val="both"/>
      </w:pPr>
      <w:r>
        <w:t xml:space="preserve">(5)</w:t>
      </w:r>
      <w:r xml:space="preserve">
        <w:t> </w:t>
      </w:r>
      <w:r xml:space="preserve">
        <w:t> </w:t>
      </w:r>
      <w:r>
        <w:t xml:space="preserve">a list of the types of weapons the applicant demonstrated proficiency with during the applicant's term of service; and</w:t>
      </w:r>
    </w:p>
    <w:p w:rsidR="003F3435" w:rsidRDefault="0032493E">
      <w:pPr>
        <w:spacing w:line="480" w:lineRule="auto"/>
        <w:ind w:firstLine="1440"/>
        <w:jc w:val="both"/>
      </w:pPr>
      <w:r>
        <w:t xml:space="preserve">(6)</w:t>
      </w:r>
      <w:r xml:space="preserve">
        <w:t> </w:t>
      </w:r>
      <w:r xml:space="preserve">
        <w:t> </w:t>
      </w:r>
      <w:r>
        <w:t xml:space="preserve">a recommendation from the agency head regarding the issuance of a license under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411.201(d),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An applicant for a license who is an active or retired judicial officer must submit to the department:</w:t>
      </w:r>
    </w:p>
    <w:p w:rsidR="003F3435" w:rsidRDefault="0032493E">
      <w:pPr>
        <w:spacing w:line="480" w:lineRule="auto"/>
        <w:ind w:firstLine="1440"/>
        <w:jc w:val="both"/>
      </w:pPr>
      <w:r>
        <w:t xml:space="preserve">(1)</w:t>
      </w:r>
      <w:r xml:space="preserve">
        <w:t> </w:t>
      </w:r>
      <w:r xml:space="preserve">
        <w:t> </w:t>
      </w:r>
      <w:r>
        <w:t xml:space="preserve">a completed application, including all required affidavits, on a form prescribed by the department;</w:t>
      </w:r>
    </w:p>
    <w:p w:rsidR="003F3435" w:rsidRDefault="0032493E">
      <w:pPr>
        <w:spacing w:line="480" w:lineRule="auto"/>
        <w:ind w:firstLine="1440"/>
        <w:jc w:val="both"/>
      </w:pPr>
      <w:r>
        <w:t xml:space="preserve">(2)</w:t>
      </w:r>
      <w:r xml:space="preserve">
        <w:t> </w:t>
      </w:r>
      <w:r xml:space="preserve">
        <w:t> </w:t>
      </w:r>
      <w:r>
        <w:t xml:space="preserve">one or more photographs of the applicant that meet the requirements of the department;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two complete sets of legible and classifiable fingerprints of the applicant, including one set taken by a person employed by a law enforcement agency who is appropriately trained in recording fingerprints;</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evidence of handgun proficiency, in the form and manner required by the department for an applicant under this section;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nonrefundable application and license fee of $25;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if the applicant is a retired judicial officer, a form executed by the applicant that authorizes the department to make an inquiry into any noncriminal history records that are necessary to determine the applicant's eligibility for a license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118.0217(a),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fee for a "mental health background check for license to carry a handgun" is for a check, conducted by the county clerk at the request of the Texas Department of Public Safety, of the county records involving the mental condition of a person who applies for a license to carry a handgun under Subchapter H, Chapter 411, Government Code. </w:t>
      </w:r>
      <w:r>
        <w:t xml:space="preserve"> </w:t>
      </w:r>
      <w:r>
        <w:t xml:space="preserve">The fee, not to exceed $2, will be paid from the application fee submitted to the Department of Public Safety according to Section </w:t>
      </w:r>
      <w:r>
        <w:rPr>
          <w:u w:val="single"/>
        </w:rPr>
        <w:t xml:space="preserve">411.174(a)(5)</w:t>
      </w:r>
      <w:r>
        <w:t xml:space="preserve"> [</w:t>
      </w:r>
      <w:r>
        <w:rPr>
          <w:strike/>
        </w:rPr>
        <w:t xml:space="preserve">411.174(a)(6)</w:t>
      </w:r>
      <w:r>
        <w:t xml:space="preserve">],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411.175, Government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applies only to an applicant for a license to carry a handgun under Subchapter H, Chapter 411, Government Code, as amended by this Act, who submits the application for the license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