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88R13823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H.B.</w:t>
      </w:r>
      <w:r xml:space="preserve">
        <w:t> </w:t>
      </w:r>
      <w:r>
        <w:t xml:space="preserve">No.</w:t>
      </w:r>
      <w:r xml:space="preserve">
        <w:t> </w:t>
      </w:r>
      <w:r>
        <w:t xml:space="preserve">4534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policy prohibiting public school employees from assisting a student with social transitioning and to the loss of state funding for a violation by a public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 Education Code, is amended by adding Subchapter I to read as follows:</w:t>
      </w:r>
    </w:p>
    <w:p w:rsidR="003F3435" w:rsidRDefault="0032493E">
      <w:pPr>
        <w:spacing w:line="480" w:lineRule="auto"/>
        <w:jc w:val="center"/>
      </w:pPr>
      <w:r>
        <w:rPr>
          <w:u w:val="single"/>
        </w:rPr>
        <w:t xml:space="preserve">SUBCHAPTER I.  ASSISTANCE WITH SOCIAL TRANSITIONING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11.401.</w:t>
      </w:r>
      <w:r>
        <w:rPr>
          <w:u w:val="single"/>
        </w:rPr>
        <w:t xml:space="preserve"> </w:t>
      </w:r>
      <w:r>
        <w:rPr>
          <w:u w:val="single"/>
        </w:rPr>
        <w:t xml:space="preserve"> </w:t>
      </w:r>
      <w:r>
        <w:rPr>
          <w:u w:val="single"/>
        </w:rPr>
        <w:t xml:space="preserve">SCHOOL DISTRICT POLICY: ASSISTANCE WITH SOCIAL TRANSITIONING PROHIBITED. </w:t>
      </w:r>
      <w:r>
        <w:rPr>
          <w:u w:val="single"/>
        </w:rPr>
        <w:t xml:space="preserve"> </w:t>
      </w:r>
      <w:r>
        <w:rPr>
          <w:u w:val="single"/>
        </w:rPr>
        <w:t xml:space="preserve">(a) </w:t>
      </w:r>
      <w:r>
        <w:rPr>
          <w:u w:val="single"/>
        </w:rPr>
        <w:t xml:space="preserve"> </w:t>
      </w:r>
      <w:r>
        <w:rPr>
          <w:u w:val="single"/>
        </w:rPr>
        <w:t xml:space="preserve">In this subchapter, "social transitioning" means a person's transition from the gender identity associated with the person's biological sex assigned at birth to an alternative gender identity through the adoption of a different name, different pronouns, or other expressions of gender, including clothing and hairstyles,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typically associated with the biological sex opposite of the person's biological sex assigned at birth;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intended to communicate the person's alternative gender identity.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a school district shall adopt a policy prohibiting an employee of the district from assisting a student enrolled in the district with social transitioning, including by providing any information about social transitioning or providing guidelines intended to assist a person with social transitioning.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parent of a student enrolled in the district or a district employee may report to the board of trustees of the district a suspected violation of the policy adopted under Subsection (b).  The board shall investigate any suspected violation and determine whether the violation occurred.  If the board determines that a district employee has assisted a student enrolled at the district with social transitioning, the board shall immediately report the violation to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commissioner finds on an appeal under Section 7.057 that a school district has violated this section, or if the board of trustees of a district notifies the commissioner about a violation of the district's policy adopted under Subsection (b), notwithstanding any other law, the commissioner shall withhold the funding to which the district is entitled under Chapters 46, 48, and 49 for the school year during which the violation occurred. The commissioner may adjust the district's entitlement to funding under those chapters for subsequent school years as necessary to recover any state funding already paid to the district for the school year in which the violation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 Education Code, is amended by adding Subsection (b-5) to read as follows:</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Section 11.401 applies to an open-enrollment charter school as though the governing body of the school were the board of trustees of a school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