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88R4080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4541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pilot program to provide comprehensive whole child care for children with complex medical needs.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531.06051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531.06051.</w:t>
      </w:r>
      <w:r>
        <w:rPr>
          <w:u w:val="single"/>
        </w:rPr>
        <w:t xml:space="preserve"> </w:t>
      </w:r>
      <w:r>
        <w:rPr>
          <w:u w:val="single"/>
        </w:rPr>
        <w:t xml:space="preserve"> </w:t>
      </w:r>
      <w:r>
        <w:rPr>
          <w:u w:val="single"/>
        </w:rPr>
        <w:t xml:space="preserve">PILOT PROGRAM FOR COMPREHENSIVE WHOLE CHILD CARE FOR CHILDREN WITH COMPLEX MEDICAL NEEDS.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 with complex medical needs" means a child who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or more chronic health conditions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affect three or more organ systems;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result in severe functional limitations, high health care needs or utilization, or the need for or use of medical technology;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life-limiting illness or rare pediatric disease as defined in Section 529(a)(3) of the Federal Food, Drug, and Cosmetic Act (21 U.S.C. 360ff(a)(3)).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"Pilot program" means the comprehensive whole child care for children with complex medical needs pilot program established under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"Recipient" means a recipient of Medicaid.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"Specialty provider" means a person who provides health-related goods or services to a recipient, including a provider of medication, therapy services, or durable medical equipment or other equipment.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enter into an agreement with the Dell Medical School at The University of Texas at Austin to develop and implement in one or more areas of this state a phased pilot program to establish an alternative model of care using existing capitated rates outside the managed care model to provide transformative, comprehensive multidisciplinary whole child care and fully integrated health homes for children with complex medical needs.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pilot program shall be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improve, and increase access to service delivery innovations and comprehensive care centers of excellence throughout this state for children with complex medical needs;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incorporate and develop increased capacity through a phased approach for children to receive: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intermediate and post-acute care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pediatric palliative and hospice care;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transition services and continuity of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improve delivery and access in rural communities;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continue to build and improve capacity to provide health care services using telecommunications and information technology;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use existing electronic medical records systems to integrate and streamline technology to improve access to care and health outcomes for children participating in the program, track the use of funding and best practices for maximizing money spent under the pilot program, and better coordinate care, including with respect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diagnoses and cohesive care plans;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treatment plans;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telemedicine medical services and telehealth services;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coordinated access and integration with home health providers;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develop and align targeted incentives to induce integration and true value-based care that will result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cohesive, coordinated multidisciplinary care with improved health outcomes for children participating in the program and long-term cost effectiveness;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continuity of care for children participating in the program;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reduced emergency room visits and hospitalizations;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identify shared needs to improve health outcomes, including behavioral, social, and familial needs;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use and incentivize appropriate and meaningful quality outcome measures customized and tailored for children with complex medical needs,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improving coordination of care and access to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developing a shared plan of care;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reducing unscheduled hospitalizations;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reducing unmet needs;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encouraging families to be shared decision makers;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allow physicians or the medical team of a child with complex medical needs to determine medical necessity of the services recommended or provided for the child;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allow the parent or guardian of a child with complex medical needs to opt the child out of receiving benefits through the STAR Kids managed care program and instead have the child receive benefits under the pilot program;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be administered by a neutral board established by the Dell Medical School at The University of Texas at Austin.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Under the pilot program, the commission may take any measures permitted under federal law that are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supersede and rework existing systemic and regulatory barriers to care and integration for children with complex medical needs under Medicaid;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reduce administrative burdens inherent in the current Medicaid system while maintaining high accountability standards;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adopt a specific procedure or other billing code under Medicaid for a health care provider to diagnose or treat conditions specific to children with complex medical needs, including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value-based whole child visit to include a bundled payment for multidisciplinary whole child complex care;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care coordination;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family support;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intermediate and post-acute care;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transition services;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mid-tier caregiver workforce providers, including certified nursing assistant care;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parents as paid caregivers;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allow a third-party payor to act in the capacity of a preferred provider organization operating under Chapter 1301, Insurance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in coordination with the Dell Medical School at The University of Texas at Austin, shall develop a statewide, neutral third-party de-identified data collection registry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improve access to care and recipient outcomes under the pilot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track funding and cost effectiveness, utilization, clinical practices, safety and effectiveness, and the allocation of resources under the pilot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best practices for the provision of care to children with complex medical needs.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registry developed under Subsection (e) must be integrated and coordinated with the all payor claims database established under Subchapter I, Chapter 38, Insurance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funding the pilot program,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Medicaid directed provider payment program for children with complex medical needs who are enrolled in the STAR Kids managed care program and make a portion of the directed provider payment program funds available for the pilot program based on the recipient's anticipated or actual participation in the pilot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additional federal money under the Advancing Care for Exceptional (ACE) Kids Act of 2019 enacted as part of the Medicaid Services Investment and Accountability Act of 2019 (Pub. L. No.</w:t>
      </w:r>
      <w:r>
        <w:rPr>
          <w:u w:val="single"/>
        </w:rPr>
        <w:t xml:space="preserve"> </w:t>
      </w:r>
      <w:r>
        <w:rPr>
          <w:u w:val="single"/>
        </w:rPr>
        <w:t xml:space="preserve">116-16);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leverage enhanced federal medical assistance percentage funding related to establishing health homes available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funds available from a portion of STAR Kids managed care program experience rebates.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March 1, 2025, the commission, in coordination with the Dell Medical School at The University of Texas at Austin, shall prepare and submit to the governor, lieutenant governor, and speaker of the house of representatives a written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pilot program's progress;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assessment of the impact of providing transformative, comprehensive multidisciplinary whole child care and fully integrated health homes for children with complex medical needs;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update on any waiver or amendment request necessary to modify the state Medicaid plan to provide the level of care and health homes for children with complex medical needs necessary under the pilot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level of care and status of health homes being provided to children with complex medical needs at the time the report is prepared;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analysis of the effectiveness of providing the level of care and health homes for children with complex medical needs at the level at which those services are provided at the time the report is prepared;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estimates of the costs and potential savings of expanding health programs administered by the commission to meet the needs of children with complex medical needs;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proposed modification to eligibility criteria for providing the level of care and health homes for children with complex medical needs under the pilot program;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legislative recommendations.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September 1, 2028, the commission shall prepare and submit to the governor, lieutenant governor, and speaker of the house of representatives a final written report on the pilot program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results of the pilot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on the pilot program's success in providing transformative, comprehensive multidisciplinary whole child care and fully integrated health homes for children with complex medical needs;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recommendation as to whether the pilot program should be continued as a pilot program or permanent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legislative recommendations.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pilot program established under this section concludes September 1, 2028.</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531.0605, Government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including a state plan amendment,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