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88R11988 JXC-F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compensation of a distributed renewable generation owner in certain areas outside of ERCOT.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39.554(f),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rPr>
          <w:u w:val="single"/>
        </w:rPr>
        <w:t xml:space="preserve">Unless the commission approves an alternative method for compensating a distributed renewable generation owner for electricity generated by distributed renewable generation or a qualifying facility, for</w:t>
      </w:r>
      <w:r xml:space="preserve">
        <w:t> </w:t>
      </w:r>
      <w:r>
        <w:t xml:space="preserve">[</w:t>
      </w:r>
      <w:r>
        <w:rPr>
          <w:strike/>
        </w:rPr>
        <w:t xml:space="preserve">For</w:t>
      </w:r>
      <w:r>
        <w:t xml:space="preserve">] a distributed renewable generation owner that chooses interconnection through a single meter under Subsection (e):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amount of electricity the owner generates through distributed renewable generation or a qualifying facility for a given billing period offsets the owner's consumption for that billing period;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electricity the owner generates through distributed renewable generation or a qualifying facility that exceeds the owner's consumption for a given billing period shall be credited to the owner under Subsection (g).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