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rules for issuing receipts pertaining to bail bonds.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1704.305, of the Texas Occupations Code is amended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1704.305.</w:t>
      </w:r>
      <w:r xml:space="preserve">
        <w:t> </w:t>
      </w:r>
      <w:r xml:space="preserve">
        <w:t> </w:t>
      </w:r>
      <w:r>
        <w:t xml:space="preserve">BAIL BOND RECEIPT AND INSPECTION; OFFENSE.  (a)  A bail bond surety or an agent of a bail bond surety may not receive money or other consideration or thing of value from a person for whom the bail bond surety executes a bond unless the bail bond surety or agent issues a receipt to the person as provided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receipt must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name of the person who pays the money or transfers the consideration or thing of value;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amount of money paid or the estimated amount of value transferred;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if the person transfers consideration or a thing of value, a brief description of the consideration or thing of value;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name of the defendant [</w:t>
      </w:r>
      <w:r>
        <w:rPr>
          <w:strike/>
        </w:rPr>
        <w:t xml:space="preserve">style]</w:t>
      </w:r>
      <w:r>
        <w:t xml:space="preserve"> and number of the case and the court in which the bond is executed</w:t>
      </w:r>
      <w:r>
        <w:rPr>
          <w:u w:val="single"/>
        </w:rPr>
        <w:t xml:space="preserve">, if available;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name of the person receiving the money, consideration, or thing of value.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bail bond surety or an agent of a bail bond surety shall retain a duplicate</w:t>
      </w:r>
      <w:r>
        <w:rPr>
          <w:u w:val="single"/>
        </w:rPr>
        <w:t xml:space="preserve"> or electronic</w:t>
      </w:r>
      <w:r>
        <w:t xml:space="preserve"> copy of a receipt issued under Subsection (a). </w:t>
      </w:r>
      <w:r>
        <w:t xml:space="preserve"> </w:t>
      </w:r>
      <w:r>
        <w:t xml:space="preserve">The copy of the receipt shall be made available for inspection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representative of the board in any county in which the bail bond surety is licensed;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appointed representative of a court in which the bail bond surety agrees to execute bail bonds.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receipt may be supplemented.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(e)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 person commits an offense if the person violates this section. </w:t>
      </w:r>
      <w:r>
        <w:rPr>
          <w:strike/>
        </w:rPr>
        <w:t xml:space="preserve"> </w:t>
      </w:r>
      <w:r>
        <w:rPr>
          <w:strike/>
        </w:rPr>
        <w:t xml:space="preserve">An offense under this section is a Class B misdemeanor.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