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t xml:space="preserve"> </w:t>
      </w:r>
      <w:r>
        <w:rPr>
          <w:u w:val="single"/>
        </w:rPr>
        <w:t xml:space="preserve">(a)</w:t>
      </w:r>
      <w:r>
        <w:t xml:space="preserve"> </w:t>
      </w:r>
      <w:r>
        <w:t xml:space="preserve"> </w:t>
      </w:r>
      <w:r>
        <w:t xml:space="preserve">At least biennially, the board shall adopt a qualified allocation plan and a corresponding manual to provide information regarding the administration of and eligibility for the low income housing tax credit program. </w:t>
      </w:r>
      <w:r>
        <w:t xml:space="preserve"> </w:t>
      </w:r>
      <w:r>
        <w:t xml:space="preserve">The board may adopt the plan and manual annually, as considered appropriate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deadline specified in the qualified allocation plan, the board shall issue commitments for available housing tax credits based on the application evaluation process provided by Section 2306.6710.  The board may not allocate to an applicant housing tax credits in any unnecessary amount, as determined by the department's underwriting policy and by federal law, and in any event may not allocate to the applicant housing tax credits in an amount greater than </w:t>
      </w:r>
      <w:r>
        <w:rPr>
          <w:u w:val="single"/>
        </w:rPr>
        <w:t xml:space="preserve">$6</w:t>
      </w:r>
      <w:r>
        <w:t xml:space="preserve"> [</w:t>
      </w:r>
      <w:r>
        <w:rPr>
          <w:strike/>
        </w:rPr>
        <w:t xml:space="preserve">$3</w:t>
      </w:r>
      <w:r>
        <w:t xml:space="preserve">] million in a single application round or to an individual development more than $2 million in a single application round.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2306.6724,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the department shall issue a final commitment for an allocation of housing tax credits not later than the 120th day following the date on which the department receives from an applicant a complete cost certification package, as prescribed by department rule, and the applicant has fulfilled any requests for information for the issuance of Internal Revenue Service Form 8609, or that form's successor.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2306.1112,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2306.67022, Government Code, as amended by this Act, applies to the adoption of a qualified allocation plan and corresponding manual for the state fiscal biennium beginning September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2306.111, 2306.6711, and 2306.6724, Government Code, as amended by this Act, apply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4550 was passed by the House on May 2, 2023, by the following vote:</w:t>
      </w:r>
      <w:r xml:space="preserve">
        <w:t> </w:t>
      </w:r>
      <w:r xml:space="preserve">
        <w:t> </w:t>
      </w:r>
      <w:r>
        <w:t xml:space="preserve">Yeas 130, Nays 14</w:t>
      </w:r>
      <w:r>
        <w:t xml:space="preserve">, 3 present, not voting; and that the House concurred in Senate amendments to H.B. No. 4550 on May 25, 2023, by the following vote:</w:t>
      </w:r>
      <w:r xml:space="preserve">
        <w:t> </w:t>
      </w:r>
      <w:r xml:space="preserve">
        <w:t> </w:t>
      </w:r>
      <w:r>
        <w:t xml:space="preserve">Yeas 126, Nays 17,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4550 was passed by the Senate, with amendments, on May 23,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