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88R14357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4551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required water quality permit for construction of a high-speed rail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26.054.</w:t>
      </w:r>
      <w:r>
        <w:rPr>
          <w:u w:val="single"/>
        </w:rPr>
        <w:t xml:space="preserve"> </w:t>
      </w:r>
      <w:r>
        <w:rPr>
          <w:u w:val="single"/>
        </w:rPr>
        <w:t xml:space="preserve"> </w:t>
      </w:r>
      <w:r>
        <w:rPr>
          <w:u w:val="single"/>
        </w:rPr>
        <w:t xml:space="preserve">PERMIT REQUIRED FOR HIGH-SPEED RAIL PROJECT.  (a)  In this section, "high-speed rail" has the meaning assigned by Section 112.201,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issue a permit authorizing the  construction and operation of a high-speed rail project only if the commission determines that the construction and operation will not adversely impact the quality of drinking water, surface water, or groundwater in any area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permit required by law, a person may not begin construction of a high-speed rail project without first obtaining a permit issued by the commission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to administer this section, including rules establishing application procedures and fees for a permit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