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88R12471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the revenue derived from the municipal hotel occupancy tax by certain municipalities and to the rate at which that tax is imposed by those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351.001(7),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"Eligible central municipality"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with a population of more than 140,000 but less than 1.5 million that is located in a county with a population of one million or more and that 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with a population of 250,000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wholly or partly on a barrier island that borders the Gulf of Mexico;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located in a county with a population of 300,000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has adopted a capital improvement plan to expand an existing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with a population of 116,000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in two counties both of which have a population of 660,000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municipality with a population of less than 50,000 that contains a general academic teaching institution that is not a component institution of a university system, as those terms are defined by Section 61.003, Education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municipality with a population of 640,000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has a population of at least 70,000 but not more than 180,000 and that is located in a county that borders the United Mexican States and the Gulf of Mexico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351.003, Tax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rate in a municipality described by Section 351.001(7)(F) may not exceed nine percent of the price paid for a room. The municipality shall allocate for the construction, expansion, maintenance, financing, operation, or debt service of a convention center or multiuse facility all revenue received by the municipality that is derived from the application of the tax at a rate of more than seven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351.101, Tax Code, is amended by adding Subsection (t)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(t)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other authorized uses, a municipality described by Section 351.001(7)(F) may use revenue from the municipal hotel occupancy tax to pay costs associated with the construction, expansion, maintenance, financing, operation, or debt service of a convention center or multiuse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