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88R7912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alternative school schedules conducted by the Texas Education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29.938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29.938.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 ON ALTERNATIVE SCHOOL SCHEDULES.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The agency shall conduct a study on the adoption of alternative instructional day or school week schedules by school districts to determine whether these alternative schedules: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help school districts attract and retain qualified teachers and classroom support personnel;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teachers and classroom support personnel have sufficient time to perform assigned duties;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sufficient instructional time to maintain student achievement and improvement.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study must consider alternative instructional day or school week schedules maintained by at least one school district, such 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four-day school week;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four-and-one-half-day school week;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one day per week for remedial education to compensate for learning loss due to the COVID-19 pandemic;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work-study schedules, in which students attend class three days per week and participate in employment or skills training two days per week;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schedule involving a combination of two classrooms of students with two or more teachers assigned to that combined classroom;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schedules allowing teachers to work partial days.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31, 2024, the agency shall prepare and submit to the legislature a report on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