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88R14322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4568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a base wage for personal attendants under the community living assistance and support services (CLASS) waiver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32.077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32.077.</w:t>
      </w:r>
      <w:r>
        <w:rPr>
          <w:u w:val="single"/>
        </w:rPr>
        <w:t xml:space="preserve"> </w:t>
      </w:r>
      <w:r>
        <w:rPr>
          <w:u w:val="single"/>
        </w:rPr>
        <w:t xml:space="preserve"> </w:t>
      </w:r>
      <w:r>
        <w:rPr>
          <w:u w:val="single"/>
        </w:rPr>
        <w:t xml:space="preserve">COMMUNITY LIVING ASSISTANCE AND SUPPORT SERVICES (CLASS) WAIVER PROGRAM: BASE WAGE FOR PERSONAL ATTENDANTS. </w:t>
      </w:r>
      <w:r>
        <w:rPr>
          <w:u w:val="single"/>
        </w:rPr>
        <w:t xml:space="preserve"> </w:t>
      </w:r>
      <w:r>
        <w:rPr>
          <w:u w:val="single"/>
        </w:rPr>
        <w:t xml:space="preserve">(a)  Notwithstanding Section 62.051 or 62.151, Labor Code, or any other law, a personal attendant providing personal assistance services to a recipient under the community living assistance and support services (CLASS) waiver program must be paid a base wage: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state fiscal biennium beginning September 1, 2023, equal to an amount that is not less than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$15 an hour;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federal minimum wage under Section 6, Fair Labor Standards Act of 1938 (29 U.S.C. Section 206);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subsequent state fiscal biennium, equal to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adjusted base wage determined in accordance with Subsection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federal minimum wage under Section 6, Fair Labor Standards Act of 1938 (29 U.S.C. Section 206).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August 1 of each odd-numbered year, the commission shall determine the adjusted base wage applicable under Subsection (a)(2)(A) for the next state fiscal biennium by increasing the base wage being paid under Subsection (a) during that month by the percentage increase, if any, in the Consumer Price Index for Urban Wage Earners and Clerical Workers (CPI-W), published by the Bureau of Labor Statistics of the United States Department of Labor for the 24-month period ending the July 31 preceding that date.  The commission shall compute the adjusted base wage to the nearest cent.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