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88R13399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language in which certain courses are offered by a public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51.917(b),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governing board of each institution of higher education shall establish a program or a short course the purpose of which is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assist faculty members whose primary language is not English to become proficient in the use of English;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ensure that courses offered for credit at the institution are taught in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 English</w:t>
      </w:r>
      <w:r>
        <w:t xml:space="preserve">] language </w:t>
      </w:r>
      <w:r>
        <w:rPr>
          <w:u w:val="single"/>
        </w:rPr>
        <w:t xml:space="preserve">accessible to all students in the course</w:t>
      </w:r>
      <w:r>
        <w:t xml:space="preserve"> and that all faculty members are proficient in the use of the English language, as determined by a satisfactory grade on the "Test of Spoken English" of the Educational Testing Service or a similar test approved by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academic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