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88R13136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continuing education requirements for public school counselors regarding lesbian, gay, bisexual, transgender, queer, or questioning youth issues.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21, Education Code, is amended by adding Section 21.0542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21.0542.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CONTINUING EDUCATION FOR SCHOOL COUNSELORS REGARDING LESBIAN, GAY, BISEXUAL, TRANSGENDER, QUEER, OR QUESTIONING YOUTH ISSUES. </w:t>
      </w:r>
      <w:r>
        <w:rPr>
          <w:u w:val="single"/>
        </w:rPr>
        <w:t xml:space="preserve"> </w:t>
      </w:r>
      <w:r>
        <w:rPr>
          <w:u w:val="single"/>
        </w:rPr>
        <w:t xml:space="preserve">(a)  The board shall propose rules requiring a counselor to complete a three-hour continuing education course to help school counselors address issues concerning students who are lesbian, gay, bisexual, transgender, queer, or questioning.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proposed by the board under this section may allow a school counselor to receive credit toward the total number of hours required for the counselor's overall continuing education requirements for completion of a course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identify or create a continuing education course or program that meets the requirements of Subsection (a) and includes training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pronoun terminology and usage;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handling of hate crimes and bullying against students who are lesbian, gay, bisexual, transgender, queer, or questioning;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mental health and suicide education related to the specific struggles encountered by students who are lesbian, gay, bisexual, transgender, queer, or questioning;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advice to provide a student for communicating the student's sexual orientation or gender identity to the student's parent;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creation of a welcoming environment that is culturally sensitive for students who are lesbian, gay, bisexual, transgender, queer, or questioning;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past and present systems of oppression for persons who are lesbian, gay, bisexual, transgender, queer, or questioning.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consult with the following persons or entities as necessary to implement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psychologist specializing in child psychology;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psychologist specializing in care for persons who are lesbian, gay, bisexual, transgender, queer, or questioning;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appropriate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State Board for Educator Certification shall propose rules implementing Section 21.0542,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