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Morales Shaw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4577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regarding the use of perfluoroalkyl and </w:t>
      </w:r>
      <w:r>
        <w:t xml:space="preserve">polyfluoroalkyl chemicals in hydraulic fracturing.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STUDY.  The president of the University of Houston shall designate a department or entity at the university to conduct, in collaboration with the Railroad Commission of Texas and the Texas Commission on Environmental Quality, a study on the use of perfluoroalkyl and polyfluoroalkyl chemicals in the hydraulic fracturing process, including: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extent of the use of perfluoroalkyl and polyfluoroalkyl chemicals in the hydraulic fracturing process in this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whether and to what extent the public may be exposed through the air or water to perfluoroalkyl and polyfluoroalkyl chemicals used in the hydraulic fracturing process;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effects on human health and the environment of perfluoroalkyl and polyfluoroalkyl chemicals used in the hydraulic fracturing process;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feasibility of chemical alternatives to perfluoroalkyl and polyfluoroalkyl chemicals used in the hydraulic fracturing process;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whether perfluoroalkyl and polyfluoroalkyl chemicals should be restricted from use in the hydraulic fracturing process.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REPORT.  Not later than December 1, 2024, the department or entity at the University of Houston designated by the president of the university to conduct the study under Section 1 of this Act shall prepare a report with the conclusions of the study and submit the report to the legislature.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EXPIRATION.  This Act expires December 31,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EFFECTIVE DATE. 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4577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