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prescribing of opioids for acute pain.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481.07636,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481.07636.</w:t>
      </w:r>
      <w:r xml:space="preserve">
        <w:t> </w:t>
      </w:r>
      <w:r xml:space="preserve">
        <w:t> </w:t>
      </w:r>
      <w:r>
        <w:t xml:space="preserve">OPIOID PRESCRIPTION LIMITS. </w:t>
      </w:r>
      <w:r>
        <w:t xml:space="preserve"> </w:t>
      </w:r>
      <w:r>
        <w:t xml:space="preserve">(a) </w:t>
      </w:r>
      <w:r>
        <w:t xml:space="preserve"> </w:t>
      </w:r>
      <w:r>
        <w:t xml:space="preserve">In this section, "acute pain" means the normal, predicted, physiological response to a stimulus such as trauma, disease, and operative procedures. Acute pain is time limited. The term does not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chronic pain;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pain being treated as part of cancer care;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pain being treated as part of hospice or other end-of-life care;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pain being treated as part of palliative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the treatment of acute pain, a practitioner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issue a prescription for an opioid in an amount that exceeds a 10-day supply;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for a refill of an opioid.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Subsection (b) does not apply to a prescription for an opioid approved by the United States Food and Drug Administration for the treatment of substance addiction that is issued by a practitioner for the treatment of substance addiction.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dispenser is not subject to criminal, civil, or administrative penalties for dispensing or refusing to dispense a controlled substance under a prescription that exceeds the limits provided by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practitioner shall refer or prescribe any of the following non-pharmacological pain management services to a patient, based on the prescriber's clinical judgment and the availability of the treatment, when issuing an opioid prescription for acute pain: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chiropractic treatment;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physical therapies;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occupational therapies;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physical medicine and rehabilitation;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osteopathic manipulation.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shall require that all treatments set forth in Subsection 481.07636 (e) be exhausted prior to the patient receiving a prescription for an opioid.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