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88R18987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4593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4593: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4593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inquests a justice of the peace conducts by videoconference in certain circumstances.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49.05(b),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justice of the peace may conduct an inquest: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the place where the death occurred;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where the body was found;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by videoconference with an individual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designated by the justice of the peace;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present with the body for a death described by Article 49.04(a)(6) or (7);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at any other place determined to be reasonable by the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