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inquests a justice of the peace conducts by videoconference in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49.05(b),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justice of the peace may conduct an inquest: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the place where the death occurred;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where the body was found;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by videoconference with an individual, designated by the justice of the peace, who is present with the body for a death described by Article 49.04(a)(6) or Article 49.04(a)(7);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at any other place determined to be reasonable by the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