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child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42, Human Resources Code, is amended by adding Section 42.0216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42.0216.</w:t>
      </w:r>
      <w:r>
        <w:rPr>
          <w:u w:val="single"/>
        </w:rPr>
        <w:t xml:space="preserve"> </w:t>
      </w:r>
      <w:r>
        <w:rPr>
          <w:u w:val="single"/>
        </w:rPr>
        <w:t xml:space="preserve"> </w:t>
      </w:r>
      <w:r>
        <w:rPr>
          <w:u w:val="single"/>
        </w:rPr>
        <w:t xml:space="preserve">SUSTAINING CHILD CARE ACCOUNT; GRANTS. </w:t>
      </w:r>
      <w:r>
        <w:rPr>
          <w:u w:val="single"/>
        </w:rPr>
        <w:t xml:space="preserve"> </w:t>
      </w:r>
      <w:r>
        <w:rPr>
          <w:u w:val="single"/>
        </w:rPr>
        <w:t xml:space="preserve">(a) </w:t>
      </w:r>
      <w:r>
        <w:rPr>
          <w:u w:val="single"/>
        </w:rPr>
        <w:t xml:space="preserve"> </w:t>
      </w:r>
      <w:r>
        <w:rPr>
          <w:u w:val="single"/>
        </w:rPr>
        <w:t xml:space="preserve">The sustaining child care account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account;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contributed to the account;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contributions to the account for which an entity receives a credit against the entity's state premium tax liability under Chapter 230, Insurance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sustaining child care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Unused funds in the sustaining child care account do not revert to the general revenue fund without legislative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sustaining child care account may be appropriated only to the Texas Workforce Commission for the purpose of making grants to day-care centers and group day-care homes licensed under this chapter and to family homes registered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Workforce Commission may award grants to day-care centers and group day-care homes licensed under this chapter and to family homes registered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adequate funding to allow the day-care providers to recover from the devastating effects of the COVID-19 lockdowns and the subsequent reduced enrollment and staff shortages;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day-care providers are able to remain in business to provide essential child-care services to the people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grant authorized by this section may not be less than $1,000 for each child under 14 years of age enrolled in the day-care center, group day-care home, or family home.  A day-care center, group day-care home, or family home may receive one grant under this section each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Workforce Commission shall set the amount of the grants awarded under this section in an amount that ensures each eligible day-care center, group day-care home, and family home is able to receive a grant.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day-care center, group day-care home, or family home may decline a grant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in collaboration with the Texas Workforce Commission shall adopt rules to implement this section, including rules regarding the eligibility criteria for receiving a grant and the process for awarding a grant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CREDIT AGAINST PREMIUM TAXES FOR CONTRIBUTIONS TO SUSTAINING CHILD CARE ACCOUNT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Sustaining Child Care Account under Section 42.0216,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premium tax liability" means any liability incurred by an entity under Chapters 221 through 226.</w:t>
      </w:r>
    </w:p>
    <w:p w:rsidR="003F3435" w:rsidRDefault="0032493E">
      <w:pPr>
        <w:spacing w:line="480" w:lineRule="auto"/>
        <w:jc w:val="center"/>
      </w:pPr>
      <w:r>
        <w:rPr>
          <w:u w:val="single"/>
        </w:rPr>
        <w:t xml:space="preserve">SUBCHAPTER B. </w:t>
      </w:r>
      <w:r>
        <w:rPr>
          <w:u w:val="single"/>
        </w:rPr>
        <w:t xml:space="preserve"> </w:t>
      </w:r>
      <w:r>
        <w:rPr>
          <w:u w:val="single"/>
        </w:rPr>
        <w:t xml:space="preserve">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230.051.</w:t>
      </w:r>
      <w:r>
        <w:rPr>
          <w:u w:val="single"/>
        </w:rPr>
        <w:t xml:space="preserve"> </w:t>
      </w:r>
      <w:r>
        <w:rPr>
          <w:u w:val="single"/>
        </w:rPr>
        <w:t xml:space="preserve"> </w:t>
      </w:r>
      <w:r>
        <w:rPr>
          <w:u w:val="single"/>
        </w:rPr>
        <w:t xml:space="preserve">CREDIT. </w:t>
      </w:r>
      <w:r>
        <w:rPr>
          <w:u w:val="single"/>
        </w:rPr>
        <w:t xml:space="preserve"> </w:t>
      </w:r>
      <w:r>
        <w:rPr>
          <w:u w:val="single"/>
        </w:rPr>
        <w:t xml:space="preserve">An entity may apply for a credit against the entity's state premium tax liability in the amount and under the conditions provided by this chapter. </w:t>
      </w:r>
      <w:r>
        <w:rPr>
          <w:u w:val="single"/>
        </w:rPr>
        <w:t xml:space="preserve"> </w:t>
      </w:r>
      <w:r>
        <w:rPr>
          <w:u w:val="single"/>
        </w:rPr>
        <w:t xml:space="preserve">The comptroller shall award credits as provided by Section 230.054.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w:t>
      </w:r>
      <w:r>
        <w:rPr>
          <w:u w:val="single"/>
        </w:rPr>
        <w:t xml:space="preserve"> </w:t>
      </w:r>
      <w:r>
        <w:rPr>
          <w:u w:val="single"/>
        </w:rPr>
        <w:t xml:space="preserve"> </w:t>
      </w:r>
      <w:r>
        <w:rPr>
          <w:u w:val="single"/>
        </w:rPr>
        <w:t xml:space="preserve">AMOUNTS; LIMITATION ON TOTAL CREDITS. </w:t>
      </w:r>
      <w:r>
        <w:rPr>
          <w:u w:val="single"/>
        </w:rPr>
        <w:t xml:space="preserve"> </w:t>
      </w:r>
      <w:r>
        <w:rPr>
          <w:u w:val="single"/>
        </w:rPr>
        <w:t xml:space="preserve">(a) </w:t>
      </w:r>
      <w:r>
        <w:rPr>
          <w:u w:val="single"/>
        </w:rPr>
        <w:t xml:space="preserve"> </w:t>
      </w:r>
      <w:r>
        <w:rPr>
          <w:u w:val="single"/>
        </w:rPr>
        <w:t xml:space="preserve">Subject to Subsections (b) and (c), the amount of an entity's credit is equal to the lesser of the amount contributed to the account during the period covered by the tax report or 75 percent of the entity's state premium tax liability for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 state fiscal year, the total amount of credits that may be awarded under this chapter may not exceed $200 million.  For each subsequent state fiscal year, the total amount of credits that may be awarded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same total amount of credits available under this subsection for the previous state fiscal year, if Subdivision (2) does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percent of the total amount of credits available under this subsection for the previous state fiscal year, if the total amount of credits awarded in the previous state fiscal year was at least 90 percent of the total amount of credits available under this subsection for that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prescribe procedures by which the comptroller may allocate credits under this chapter. The procedures must provide that credits are allocated first to entities that received preliminary approval for a credit under Section 230.053 and that apply under Section 230.054. The procedures must provide that any remaining credits are allocated to entities that apply under Section 230.054 on a first-come, first-served basis, based on the date the contribution was initially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require an entity to notify the comptroller of the amount the entity intends or expects to apply for under this chapter before the beginning of a state fiscal year or at any other time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230.053.</w:t>
      </w:r>
      <w:r>
        <w:rPr>
          <w:u w:val="single"/>
        </w:rPr>
        <w:t xml:space="preserve"> </w:t>
      </w:r>
      <w:r>
        <w:rPr>
          <w:u w:val="single"/>
        </w:rPr>
        <w:t xml:space="preserve"> </w:t>
      </w:r>
      <w:r>
        <w:rPr>
          <w:u w:val="single"/>
        </w:rPr>
        <w:t xml:space="preserve">PRELIMINARY APPROVAL FOR CREDIT.  (a) Before making a contribution to the account, an entity may apply to the comptroller for preliminary approval of a credit under this chapter for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preliminary approval on a form provided by the comptroller that includes the amount the entity expects to contribute and 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grant preliminary approval for credits under this chapter on a first-come, first-served basis, based on the date the comptroller receives the application for preliminary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grant preliminary approval for a credit under this chapter for a state fiscal year if the sum of the amount of the credit and the total amount of all other credits preliminarily approved under this chapter does not exceed the amount provided by Section 230.052(b).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Final award of a credit preliminarily approved under this section remains subject to the limitations under Section 230.052(a) and all other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230.054.</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An entity must apply for a credit under this chapter on or with the tax report covering the period in which the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230.052(c), the comptroller may award a credit to an entity that applies for the credit under Subsection (a) if the entity is eligible for the credit and the credit is available under Section 230.052(b). The comptroller has broad discretion in determining whether to grant or deny an application for a credit.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an entity in writing of the comptroller's decision to grant or deny the application under Subsection (a). If the comptroller denies an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comptroller denies an entity's application under Subsection (a), the entity may request in writing a reconsideration of the application not later than the 10th day after the date the notice under Subsection (d) is received. If the entity does not request a reconsideration of the application on or before that date, the comptroller's decision is final.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requests a reconsideration under Subsection (e) may submit to the comptroller, not later than the 30th day after the date the request for reconsideration is submitted, additional information and documents to support the entity's request for reconsideration.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comptroller's reconsideration of an application under this section is not a contested case under Chapter 2001, Government Code. The comptroller's decision on a request for reconsideration of an application is final and is not appealable.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create a cause of action to contest a decision of the comptroller to deny an application for a credit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230.055.</w:t>
      </w:r>
      <w:r>
        <w:rPr>
          <w:u w:val="single"/>
        </w:rPr>
        <w:t xml:space="preserve"> </w:t>
      </w:r>
      <w:r>
        <w:rPr>
          <w:u w:val="single"/>
        </w:rPr>
        <w:t xml:space="preserve"> </w:t>
      </w:r>
      <w:r>
        <w:rPr>
          <w:u w:val="single"/>
        </w:rPr>
        <w:t xml:space="preserve">RULES; PROCEDURES.  The comptroller shall adopt rules and procedures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230.056.</w:t>
      </w:r>
      <w:r>
        <w:rPr>
          <w:u w:val="single"/>
        </w:rPr>
        <w:t xml:space="preserve"> </w:t>
      </w:r>
      <w:r>
        <w:rPr>
          <w:u w:val="single"/>
        </w:rPr>
        <w:t xml:space="preserve"> </w:t>
      </w:r>
      <w:r>
        <w:rPr>
          <w:u w:val="single"/>
        </w:rPr>
        <w:t xml:space="preserve">ASSIGNMENT PROHIBITED; EXCEPTION. An entity may not convey, assign, or transfer the credit allowed under this chapter to another entity unless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230.057.</w:t>
      </w:r>
      <w:r>
        <w:rPr>
          <w:u w:val="single"/>
        </w:rPr>
        <w:t xml:space="preserve"> </w:t>
      </w:r>
      <w:r>
        <w:rPr>
          <w:u w:val="single"/>
        </w:rPr>
        <w:t xml:space="preserve"> </w:t>
      </w:r>
      <w:r>
        <w:rPr>
          <w:u w:val="single"/>
        </w:rPr>
        <w:t xml:space="preserve">NOTICE OF AVAILABILITY OF CREDIT. The comptroller shall provide notice of the availability of the credit under this chapter on the comptroller's Internet website, in the instructions for insurance premium tax report forms, and in any notice sent to an entity concerning the requirement to file an insurance premium tax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An entity may apply for a credit under Chapter 230, Insurance Code, as added by this Act, only for a contribution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November 15, 2023, the comptroller of public accounts shall adopt rules as provided by Section 230.055, Insurance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230, Insurance Code, as added by this Act, applies only to a tax report originally due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