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suits for personal injury that arise as a result of conduct that violates certain Penal Code provisions concerning sexual offenses against a child but that are filed against certain persons who did not commit the conduct that violated those Penal Code provisions.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16.0045(a), Civil Practice and Remedies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person must bring suit for personal injury not later than 30 years after the day the cause of action accrues if the injury arises as a result of conduct that violates:</w:t>
      </w:r>
    </w:p>
    <w:p w:rsidR="003F3435" w:rsidRDefault="0032493E">
      <w:pPr>
        <w:spacing w:line="480" w:lineRule="auto"/>
        <w:ind w:firstLine="1440"/>
        <w:jc w:val="both"/>
      </w:pPr>
      <w:r>
        <w:t xml:space="preserve">(1)</w:t>
      </w:r>
      <w:r xml:space="preserve">
        <w:t> </w:t>
      </w:r>
      <w:r xml:space="preserve">
        <w:t> </w:t>
      </w:r>
      <w:r>
        <w:t xml:space="preserve">Section 22.011(a)(2), Penal Code (sexual assault of a child);</w:t>
      </w:r>
    </w:p>
    <w:p w:rsidR="003F3435" w:rsidRDefault="0032493E">
      <w:pPr>
        <w:spacing w:line="480" w:lineRule="auto"/>
        <w:ind w:firstLine="1440"/>
        <w:jc w:val="both"/>
      </w:pPr>
      <w:r>
        <w:t xml:space="preserve">(2)</w:t>
      </w:r>
      <w:r xml:space="preserve">
        <w:t> </w:t>
      </w:r>
      <w:r xml:space="preserve">
        <w:t> </w:t>
      </w:r>
      <w:r>
        <w:t xml:space="preserve">Section 22.021(a)(1)(B), Penal Code (aggravated sexual assault of a child);</w:t>
      </w:r>
    </w:p>
    <w:p w:rsidR="003F3435" w:rsidRDefault="0032493E">
      <w:pPr>
        <w:spacing w:line="480" w:lineRule="auto"/>
        <w:ind w:firstLine="1440"/>
        <w:jc w:val="both"/>
      </w:pPr>
      <w:r>
        <w:t xml:space="preserve">(3)</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t xml:space="preserve">(4)</w:t>
      </w:r>
      <w:r xml:space="preserve">
        <w:t> </w:t>
      </w:r>
      <w:r xml:space="preserve">
        <w:t> </w:t>
      </w:r>
      <w:r>
        <w:t xml:space="preserve">Section 20A.02(a)(7)(A), (B), (C), (D), or (H) or Section 20A.02(a)(8), Penal Code, involving an activity described by Section 20A.02(a)(7)(A), (B), (C), (D), or (H) or sexual conduct with a child trafficked in the manner described by Section 20A.02(a)(7), Penal Code (certain sexual trafficking of a child);</w:t>
      </w:r>
    </w:p>
    <w:p w:rsidR="003F3435" w:rsidRDefault="0032493E">
      <w:pPr>
        <w:spacing w:line="480" w:lineRule="auto"/>
        <w:ind w:firstLine="1440"/>
        <w:jc w:val="both"/>
      </w:pPr>
      <w:r>
        <w:t xml:space="preserve">(5)</w:t>
      </w:r>
      <w:r xml:space="preserve">
        <w:t> </w:t>
      </w:r>
      <w:r xml:space="preserve">
        <w:t> </w:t>
      </w:r>
      <w:r>
        <w:t xml:space="preserve">Section 43.05(a)(2), Penal Code (compelling prostitution by a child); or</w:t>
      </w:r>
    </w:p>
    <w:p w:rsidR="003F3435" w:rsidRDefault="0032493E">
      <w:pPr>
        <w:spacing w:line="480" w:lineRule="auto"/>
        <w:ind w:firstLine="1440"/>
        <w:jc w:val="both"/>
      </w:pPr>
      <w:r>
        <w:t xml:space="preserve">(6)</w:t>
      </w:r>
      <w:r xml:space="preserve">
        <w:t> </w:t>
      </w:r>
      <w:r xml:space="preserve">
        <w:t> </w:t>
      </w:r>
      <w:r>
        <w:t xml:space="preserve">Section 21.11, Penal Code (indecency with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16.0045, Civil Practice and Remedies Code, is amended by adding Subsections (a-1), (a-2), and (a-3)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must bring suit for personal injury against a non-perpetrator not later than fifteen years after the day the cause of action accrues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injury arises as a result of conduct that violates a Penal Code provision listed in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against whom the suit is filed had a safe environment program at the time the injury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the purposes of Subsection (a-1):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"non-perpetrator" means a person who did not directly physically assault the claimant or a person who is not the individual who committed the conduct that violates a provision of the Penal Code listed in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 environment program" means a good faith effort by a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criminal background checks of the person's employees not less than one time every five years;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 the person's employees to attend not less than one time every five years an in-person or on-line educational program related to the sexual abuse of minors and the reporting of sexual abuse of minors;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report allegations of sexual abuse of minors by employees of the person to the Department of Family and Protective Services or law enforcement as required by law.</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claimant who files a suit described by Subsection (a) against a person described by Subsection (a-1) may not recover any damages against a non-perpetrator unless the claimant proves each element of the cause of action by clear and convincing evidence.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Nothing in this Act creates a private cause of action against a person concerning a safe environment program as set forth herein.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