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concerning service members of the state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437.232(a),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"military personnel information" means a service member's name, </w:t>
      </w:r>
      <w:r>
        <w:rPr>
          <w:u w:val="single"/>
        </w:rPr>
        <w:t xml:space="preserve">Department of Defense identification number,</w:t>
      </w:r>
      <w:r>
        <w:t xml:space="preserve"> home address, rank, official title, pay rate or grade, state active duty orders, deployment locations, military duty addresses, awards and decorations, length of military service, and medical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4615 was passed by the House on April 20, 2023, by the following vote:</w:t>
      </w:r>
      <w:r xml:space="preserve">
        <w:t> </w:t>
      </w:r>
      <w:r xml:space="preserve">
        <w:t> </w:t>
      </w:r>
      <w:r>
        <w:t xml:space="preserve">Yeas 146,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4615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