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88R21072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4616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notifications by the Department of Agriculture of certain stop-sale orders applicable to plant products and the seizure or destruction of certain plant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12.0012, Agriculture Code, is amended to read as follows:</w:t>
      </w:r>
    </w:p>
    <w:p w:rsidR="003F3435" w:rsidRDefault="0032493E">
      <w:pPr>
        <w:spacing w:line="480" w:lineRule="auto"/>
        <w:ind w:firstLine="720"/>
        <w:jc w:val="both"/>
      </w:pPr>
      <w:r>
        <w:t xml:space="preserve">Sec.</w:t>
      </w:r>
      <w:r xml:space="preserve">
        <w:t> </w:t>
      </w:r>
      <w:r>
        <w:t xml:space="preserve">12.0012.</w:t>
      </w:r>
      <w:r xml:space="preserve">
        <w:t> </w:t>
      </w:r>
      <w:r xml:space="preserve">
        <w:t> </w:t>
      </w:r>
      <w:r>
        <w:rPr>
          <w:u w:val="single"/>
        </w:rPr>
        <w:t xml:space="preserve">NOTIFICATIONS</w:t>
      </w:r>
      <w:r>
        <w:t xml:space="preserve"> </w:t>
      </w:r>
      <w:r>
        <w:t xml:space="preserve">[</w:t>
      </w:r>
      <w:r>
        <w:rPr>
          <w:strike/>
        </w:rPr>
        <w:t xml:space="preserve">NOTIFICATION</w:t>
      </w:r>
      <w:r>
        <w:t xml:space="preserve">]. </w:t>
      </w:r>
      <w:r>
        <w:rPr>
          <w:u w:val="single"/>
        </w:rPr>
        <w:t xml:space="preserve">(a)</w:t>
      </w:r>
      <w:r xml:space="preserve">
        <w:t> </w:t>
      </w:r>
      <w:r xml:space="preserve">
        <w:t> </w:t>
      </w:r>
      <w:r>
        <w:t xml:space="preserve">The department shall, upon submission for publication, notify the Texas Division of Emergency Management of each quarantine it adopts.</w:t>
      </w:r>
      <w:r xml:space="preserve">
        <w:t> </w:t>
      </w:r>
      <w:r xml:space="preserve">
        <w:t> </w:t>
      </w:r>
      <w:r>
        <w:t xml:space="preserve">The department shall thereafter cooperate with the Texas Division of Emergency Management in implementing any necessary safeguards to protect the state's agricultural resources from potential economic, health, or ecological disaster that may result from the quarantined pest or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notify the governor, lieutenant governor, speaker of the house of representatives, and chairs of the house and senate committees with primary jurisdiction over the department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stop-sale order under Section 18.010, 19.011, or 71.060 applicable to a plant product;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seizure or destruction of any plant product authorized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notification issued under Subsection (b) must be made within 24 hours of the issuance of the order or the action taken by the department and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order or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of the plant product barred from sale, seized, or destroyed;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reason for the order or action, including the agency rule and statute used as justification for the order or 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type and quantity of the plant product barred from sale, seized, or destroyed;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known, the name and contact information of the owner or operator responsible for the plant product;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name and contact information of the inspector or other person responsible for the order or action;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information considered relevant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