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4616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notifications by the Texas Department of Agriculture concerning a stop-sale order, seizure, or destruction of certain plant or animal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 Agriculture Code, is amended by adding Sec. 12.051.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12.051.</w:t>
      </w:r>
      <w:r>
        <w:rPr>
          <w:u w:val="single"/>
        </w:rPr>
        <w:t xml:space="preserve"> </w:t>
      </w:r>
      <w:r>
        <w:rPr>
          <w:u w:val="single"/>
        </w:rPr>
        <w:t xml:space="preserve"> </w:t>
      </w:r>
      <w:r>
        <w:rPr>
          <w:u w:val="single"/>
        </w:rPr>
        <w:t xml:space="preserve">NOTIFICATION OF CERTAIN ACTIONS TAKEN BY DEPARTMENT.  (a) </w:t>
      </w:r>
      <w:r>
        <w:rPr>
          <w:u w:val="single"/>
        </w:rPr>
        <w:t xml:space="preserve"> </w:t>
      </w:r>
      <w:r>
        <w:rPr>
          <w:u w:val="single"/>
        </w:rPr>
        <w:t xml:space="preserve">The Department shall report to the Governor, Lieutenant Governor, Speaker of the House, and the appropriate legislative oversight committees each time the Department issues a stop-sale order or otherwise seizes, bars the sale of, or destroys any plant or animal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notification subject to Subsection (a) shall be made within 24 hours of the issuance of the applicable order or the action taken and shall include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and time of the order or action taken;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location of the plant or animal product seized,  barred from sale, or destroyed;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reason(s) for the issuance of the order or action taken, including the agency rule and statute used as justification for the issuance of the order or action taken;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type and quantity of plant or animal product seized, barred from sale, or destroyed;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name and contact information of the owner or operator of the plant or animal product, if known;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name and contact information of the inspector or other person responsible for the order or action taken;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information deemed relevant by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