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88R11682 JRJ-D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Bumgarner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requirements for an electronic system to monitor tuition and fee exemptions for veterans and military personnel and their dependents.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434.00791(b),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ensure a system to electronically monitor the use of tuition and fee exemptions at institutions of higher education under Section 54.341, Education Code, is developed.</w:t>
      </w:r>
      <w:r xml:space="preserve">
        <w:t> </w:t>
      </w:r>
      <w:r xml:space="preserve">
        <w:t> </w:t>
      </w:r>
      <w:r>
        <w:t xml:space="preserve">The system must allow the commission to electronically receive, for each semester, the following information from institutions of higher education: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 the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name, identification number, and date of birth of each individual attending the institution and receiving benefits for the semester under Section 54.341, Education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each individual receiving benefits, the number of credit hours for which the individual received an exemption for the semester;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each individual receiving benefits at the institution during the semester, the total cumulative number of credit hours for which the individual has received an exemption at the institution;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rPr>
          <w:u w:val="single"/>
        </w:rPr>
        <w:t xml:space="preserve">copies of any documentation required from an individual attending the institution for the receipt of benefits for the semester;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 xml:space="preserve">
        <w:t> </w:t>
      </w:r>
      <w:r>
        <w:t xml:space="preserve">any other information required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beginning with the 2023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