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88R13404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terms and qualifications of members on the Intellectual and Developmental Disability System Redesign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534.053,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the greatest extent possible, the executive commissioner shall appoint members of the advisory committee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reflect the geographic diversity of the state and include members who represent rural Medicaid recipients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ensure the continuity in and effective fulfillment of the advisory committee's advisory responsibility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member of the advisory committee serves a four-year term and may be reappointed.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534.053, Government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534.053(b-1), Government Code, as added by this Act, applies to a member of the Intellectual and Developmental Disability System Redesign Advisory Committee, regardless of when the member was appointed. </w:t>
      </w:r>
      <w:r>
        <w:t xml:space="preserve"> </w:t>
      </w:r>
      <w:r>
        <w:t xml:space="preserve">For purposes of that section, the term of a member appointed to the advisory committee before the effective date of this Act begins on the effective date of this Act or the date designated by the executive commissioner of the Health and Human Services Commission as the executive commissioner determines necessary to effectuate staggered terms.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