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88R13144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4636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political party candidates or officers and certain procedures of the county executive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161.005(a),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be eligible to be a candidate for or to serve as an officer of a political party, a person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except as provided by Subsection (c), not be a candidate for nomination or election to, or be the holder of, an elective office of the federal, state, or county government;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office is a county or precinct chair of a political party, be a qualified voter of the county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not been finally convicted of a felony from which the person has not been pardoned or otherwise released from the resulting disabilities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171.022, Election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county chair may appoint ex officio, nonvoting members, as necessary, to assist the county executive committee in conducting business, to serve at the pleasure of the chair.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171.024(c),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If a vacancy occurs in the office of precinct chair, the county chair shall appoint a replacement who meets the qualifications for office under Section 161.005(a) to serve for the remainder of the term.  The county chair may form a vacancy committee to assist in filling vacancies under this subsection</w:t>
      </w:r>
      <w:r>
        <w:t xml:space="preserve"> [</w:t>
      </w:r>
      <w:r>
        <w:rPr>
          <w:strike/>
        </w:rPr>
        <w:t xml:space="preserve">Each party shall adopt rules to determine a percentage of committee membership that constitutes a quorum for purposes of filling a vacancy in the office of precinct chair. To be elected, a person must receive a favorable vote of a majority of the members voting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171.026,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171.026.</w:t>
      </w:r>
      <w:r xml:space="preserve">
        <w:t> </w:t>
      </w:r>
      <w:r xml:space="preserve">
        <w:t> </w:t>
      </w:r>
      <w:r>
        <w:rPr>
          <w:u w:val="single"/>
        </w:rPr>
        <w:t xml:space="preserve">MEETINGS;</w:t>
      </w:r>
      <w:r>
        <w:t xml:space="preserve"> PROXY NOT ALLOWED.  </w:t>
      </w:r>
      <w:r>
        <w:rPr>
          <w:u w:val="single"/>
        </w:rPr>
        <w:t xml:space="preserve">(a)  The county chair shall set the schedule for meetings and the agenda for each meeting.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A person may not participate in a county executive committee meeting as a proxy.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executive committee meeting may be in person or by videoconference, as provided by Section 551.127, Government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171.028,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171.028.</w:t>
      </w:r>
      <w:r xml:space="preserve">
        <w:t> </w:t>
      </w:r>
      <w:r xml:space="preserve">
        <w:t> </w:t>
      </w:r>
      <w:r>
        <w:t xml:space="preserve">COUNTY CHAIR </w:t>
      </w:r>
      <w:r>
        <w:rPr>
          <w:u w:val="single"/>
        </w:rPr>
        <w:t xml:space="preserve">AUTHORITY AND</w:t>
      </w:r>
      <w:r>
        <w:t xml:space="preserve"> TRANSITION.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171.028, Election Code, is amended by amending Subsection (a)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Not later than the 30th day after the date the term of office of a new county chair begins, the person formerly serving as the county chair shall transfer to the new county chair: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all</w:t>
      </w:r>
      <w:r>
        <w:t xml:space="preserve"> local party [</w:t>
      </w:r>
      <w:r>
        <w:rPr>
          <w:strike/>
        </w:rPr>
        <w:t xml:space="preserve">bank</w:t>
      </w:r>
      <w:r>
        <w:t xml:space="preserve">] accounts [</w:t>
      </w:r>
      <w:r>
        <w:rPr>
          <w:strike/>
        </w:rPr>
        <w:t xml:space="preserve">over which the former county chair has authority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following original records that are in the possession of the former county chair: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precinct chair and county chair canvass results;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candidate applications;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paperwork related to the primary election;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other documents concerning party affairs.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county chair has authority over and is the administrator of all party accounts and contracts.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171.029, Election Code, is amended by adding Subsections (e)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precinct or county chair may be removed from office under this section if the precinct or county chair no longer meets the eligibility requirements under Section 161.005.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precinct or county chair may not be removed except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4636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