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88R3249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Sherman, Sr.</w:t>
      </w:r>
      <w:r xml:space="preserve">
        <w:tab wTab="150" tlc="none" cTlc="0"/>
      </w:r>
      <w:r>
        <w:t xml:space="preserve">H.B.</w:t>
      </w:r>
      <w:r xml:space="preserve">
        <w:t> </w:t>
      </w:r>
      <w:r>
        <w:t xml:space="preserve">No.</w:t>
      </w:r>
      <w:r xml:space="preserve">
        <w:t> </w:t>
      </w:r>
      <w:r>
        <w:t xml:space="preserve">4637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protesting changes to municipal zoning regulations and boundaries.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211.006(d), Local Government Code, is amended to read as follows:</w:t>
      </w:r>
    </w:p>
    <w:p w:rsidR="003F3435" w:rsidRDefault="0032493E">
      <w:pPr>
        <w:spacing w:line="480" w:lineRule="auto"/>
        <w:ind w:firstLine="720"/>
        <w:jc w:val="both"/>
      </w:pPr>
      <w:r>
        <w:t xml:space="preserve">(d)</w:t>
      </w:r>
      <w:r xml:space="preserve">
        <w:t> </w:t>
      </w:r>
      <w:r xml:space="preserve">
        <w:t> </w:t>
      </w:r>
      <w:r>
        <w:t xml:space="preserve">If a proposed change to a regulation or boundary is protested in accordance with this subsection, the proposed change must receive, in order to take effect, the affirmative vote of at least three-fourths of all members of the governing body.  The protest must be written and signed by the owners of at least </w:t>
      </w:r>
      <w:r>
        <w:rPr>
          <w:u w:val="single"/>
        </w:rPr>
        <w:t xml:space="preserve">50</w:t>
      </w:r>
      <w:r>
        <w:t xml:space="preserve"> [</w:t>
      </w:r>
      <w:r>
        <w:rPr>
          <w:strike/>
        </w:rPr>
        <w:t xml:space="preserve">20</w:t>
      </w:r>
      <w:r>
        <w:t xml:space="preserve">] percent of either:</w:t>
      </w:r>
    </w:p>
    <w:p w:rsidR="003F3435" w:rsidRDefault="0032493E">
      <w:pPr>
        <w:spacing w:line="480" w:lineRule="auto"/>
        <w:ind w:firstLine="1440"/>
        <w:jc w:val="both"/>
      </w:pPr>
      <w:r>
        <w:t xml:space="preserve">(1)</w:t>
      </w:r>
      <w:r xml:space="preserve">
        <w:t> </w:t>
      </w:r>
      <w:r xml:space="preserve">
        <w:t> </w:t>
      </w:r>
      <w:r>
        <w:t xml:space="preserve">the area of the lots or land covered by the proposed change; or</w:t>
      </w:r>
    </w:p>
    <w:p w:rsidR="003F3435" w:rsidRDefault="0032493E">
      <w:pPr>
        <w:spacing w:line="480" w:lineRule="auto"/>
        <w:ind w:firstLine="1440"/>
        <w:jc w:val="both"/>
      </w:pPr>
      <w:r>
        <w:t xml:space="preserve">(2)</w:t>
      </w:r>
      <w:r xml:space="preserve">
        <w:t> </w:t>
      </w:r>
      <w:r xml:space="preserve">
        <w:t> </w:t>
      </w:r>
      <w:r>
        <w:t xml:space="preserve">the area of the lots or land immediately adjoining the area covered by the proposed change and extending 200 feet from that area.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proposal to change a municipal zoning regulation or zoning district boundary made on or after the effective date of this Act.  A proposal to change a municipal zoning regulation or zoning district boundary made before the effective date of this Act is governed by the law in effect on the date the proposal was made,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