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4645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property used to provide low-income or moderate-income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11.1825,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organization that leases land under a ground lease is entitled to an exemption from taxation of the improvements owned by the organization that the organization constructs or rehabilitates and uses to provide housing to individuals or families meeting the income eligibility requirements of this section.  An organization that leases land as described by this subsection is considered to be the owner of the land for purposes of the provisions of this section requiring that an organization own property for the purpose of constructing or rehabilitating a housing project on the property in order to receive an exemption for the property.  A reference in this section to acquiring property includes leasing the property as described by this subsection.  A reference in this section to an exemption from taxation or the appraisal of property means the improvements constructed or rehabilitated on the property if the property consists of land and improvements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