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Jones of Harris</w:t>
      </w:r>
      <w:r xml:space="preserve">
        <w:tab wTab="150" tlc="none" cTlc="0"/>
      </w:r>
      <w:r>
        <w:t xml:space="preserve">H.B.</w:t>
      </w:r>
      <w:r xml:space="preserve">
        <w:t> </w:t>
      </w:r>
      <w:r>
        <w:t xml:space="preserve">No.</w:t>
      </w:r>
      <w:r xml:space="preserve">
        <w:t> </w:t>
      </w:r>
      <w:r>
        <w:t xml:space="preserve">4646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payment of ad valorem taxes in installments.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31.031(a), Tax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an individual who is:</w:t>
      </w:r>
    </w:p>
    <w:p w:rsidR="003F3435" w:rsidRDefault="0032493E">
      <w:pPr>
        <w:spacing w:line="480" w:lineRule="auto"/>
        <w:ind w:firstLine="2160"/>
        <w:jc w:val="both"/>
      </w:pPr>
      <w:r>
        <w:t xml:space="preserve">(A)</w:t>
      </w:r>
      <w:r xml:space="preserve">
        <w:t> </w:t>
      </w:r>
      <w:r xml:space="preserve">
        <w:t> </w:t>
      </w:r>
      <w:r>
        <w:t xml:space="preserve">disabled or at least 65 years of age; and</w:t>
      </w:r>
    </w:p>
    <w:p w:rsidR="003F3435" w:rsidRDefault="0032493E">
      <w:pPr>
        <w:spacing w:line="480" w:lineRule="auto"/>
        <w:ind w:firstLine="2160"/>
        <w:jc w:val="both"/>
      </w:pPr>
      <w:r>
        <w:t xml:space="preserve">(B)</w:t>
      </w:r>
      <w:r xml:space="preserve">
        <w:t> </w:t>
      </w:r>
      <w:r xml:space="preserve">
        <w:t> </w:t>
      </w:r>
      <w:r>
        <w:t xml:space="preserve">qualified for an exemption under Section 11.13(c);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an individual who is:</w:t>
      </w:r>
    </w:p>
    <w:p w:rsidR="003F3435" w:rsidRDefault="0032493E">
      <w:pPr>
        <w:spacing w:line="480" w:lineRule="auto"/>
        <w:ind w:firstLine="2160"/>
        <w:jc w:val="both"/>
      </w:pPr>
      <w:r>
        <w:t xml:space="preserve">(A)</w:t>
      </w:r>
      <w:r xml:space="preserve">
        <w:t> </w:t>
      </w:r>
      <w:r xml:space="preserve">
        <w:t> </w:t>
      </w:r>
      <w:r>
        <w:t xml:space="preserve">a disabled veteran or the unmarried surviving spouse of a disabled veteran; and</w:t>
      </w:r>
    </w:p>
    <w:p w:rsidR="003F3435" w:rsidRDefault="0032493E">
      <w:pPr>
        <w:spacing w:line="480" w:lineRule="auto"/>
        <w:ind w:firstLine="2160"/>
        <w:jc w:val="both"/>
      </w:pPr>
      <w:r>
        <w:t xml:space="preserve">(B)</w:t>
      </w:r>
      <w:r xml:space="preserve">
        <w:t> </w:t>
      </w:r>
      <w:r xml:space="preserve">
        <w:t> </w:t>
      </w:r>
      <w:r>
        <w:t xml:space="preserve">qualified for an exemption under Section 11.132 or 11.22</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individual who is qualified for an exemption under Section 11.13 and: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not delinquent in the payment of taxes</w:t>
      </w:r>
      <w:r>
        <w:rPr>
          <w:u w:val="single"/>
        </w:rPr>
        <w:t xml:space="preserve"> imposed on property that the individual owns and occupies as a residence homestead;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acquired the property that the individual owns and occupies as a residence homestead by devise or descent during the preceding five tax years;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 the calendar year preceding the current tax year, had an aggregate adjusted gross income as defined by 26 U.S.C. Section 62 of less than $300,000</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apply only to ad valorem taxes imposed for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4646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