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88R13514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4647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programs to provide assistance for certain electric customers.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39.002, Utilities Code, as amended by Chapters 908 (H.B. 4492) and 950 (S.B. 1580),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 39.1516, 39.155, 39.157(e), 39.159, 39.160, 39.203, </w:t>
      </w:r>
      <w:r>
        <w:rPr>
          <w:u w:val="single"/>
        </w:rPr>
        <w:t xml:space="preserve">39.9035, 39.9036,</w:t>
      </w:r>
      <w:r>
        <w:t xml:space="preserve"> 39.904, 39.9051, 39.9052, and 39.914(e), and Subchapters M and N, does not apply to a municipally owned utility or an electric cooperative.  Sections 39.157(e), 39.203, and 39.904, however, apply only to a municipally owned utility or an electric cooperative that is offering customer choice.  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39, Utilities Code, is amended by adding Sections 39.9035 and 39.9036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39.9035.</w:t>
      </w:r>
      <w:r>
        <w:rPr>
          <w:u w:val="single"/>
        </w:rPr>
        <w:t xml:space="preserve"> </w:t>
      </w:r>
      <w:r>
        <w:rPr>
          <w:u w:val="single"/>
        </w:rPr>
        <w:t xml:space="preserve"> </w:t>
      </w:r>
      <w:r>
        <w:rPr>
          <w:u w:val="single"/>
        </w:rPr>
        <w:t xml:space="preserve">EMERGENCY ON-SITE GENERATOR FUND.  (a)  In this section, "fund" means the emergency on-site generator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an account in the general revenue fund.  Money in the account may be appropriated only for the program described by Subsection (e) or as provided by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administer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a program to provide funding to assist entities for whom electric service is considered crucial for the protection or maintenance of public safety with procuring emergency on-site generators or comparable emergency on-site power sources for use during a power outage.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Assistance under the fund may only be used to procure an emergency on-site generator or comparable emergency on-site power source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capacity of less than 10 megawatts;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operated in parallel with the transmission or distribution system.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entity that receives assistance under the fund to procure an emergency on-site generator or comparable emergency on-site power source: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use the equipment exclusively for power consumption by the entity at the entity's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sell any surplus power generated by the equipment;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in a load reduction program for compensation.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sale of an emergency on-site generator or comparable emergency on-site power source to an entity eligible for assistance under the fund is a competitive energy service.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adopt rules necessary to administer this section, including rules establishing eligibility criteria for assistance under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39.9036.</w:t>
      </w:r>
      <w:r>
        <w:rPr>
          <w:u w:val="single"/>
        </w:rPr>
        <w:t xml:space="preserve"> </w:t>
      </w:r>
      <w:r>
        <w:rPr>
          <w:u w:val="single"/>
        </w:rPr>
        <w:t xml:space="preserve"> </w:t>
      </w:r>
      <w:r>
        <w:rPr>
          <w:u w:val="single"/>
        </w:rPr>
        <w:t xml:space="preserve">LOW-INCOME CRITICAL CARE RESIDENTIAL CUSTOMER ASSISTANCE FUND.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"Critical care residential customer" has the meaning assigned by Section 17.002.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device" means electrically powered medical equipment that mechanically or artificially sustains life or restores or replaces a vital physical function, including a home dialysis machine or a home oxygen concentrator.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"Fund" means the low-income critical care residential customer assistance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"Low-income customer" means an electric customer designated as a low-income customer under Section 17.007 and commission rules.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"Portable backup battery" means a back-up battery system that is capable of being operated without being connected to an electric service panel.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an account in the general revenue fund.  Money in the account may be appropriated only for the program described by Subsection (e) or as provided by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administer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a program to provide funding to low-income critical care residential customers to secure portable backup batteries to operate eligible devices in the customers' homes during a power outage.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Assistance under the fund may only be used to procure a portable backup battery that when fully charged and operated correctly is capable of running an eligible device for up to 48 hours.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sale or provision of a portable backup battery to a person who receives assistance under the fund is a competitive energy service.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enable funding to be made available to competitive energy service providers through an energy efficiency program under Section 39.905.</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