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88R26775 SHH-D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Thimesch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4655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the vulnerable adult protection task force.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(a) In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"Task force" means the vulnerable adult protection task force established by this Act.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"Vulnerable adult"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elderly person as that term is defined by Section 48.002, Human Resources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with a disability as that term is defined by Section 48.002, Human Resources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vulnerable adult protection task force is established to study abuse of vulnerable adults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task force is composed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commissioner of the Department of Family and Protective Services or the commissioner's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banking commissioner of the Texas Department of Banking or the banking commissioner's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district attorney selected by the Texas District and County Attorneys Association;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following members appointed by the governor from a list of names submitted by the speaker of the house of representatives: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representative from the banking or credit union industry; 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representative from an unaffiliated nonprofit organization that advocates for elderly persons statewide;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representative from the health care industry;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two members of the house of representatives selected by the speaker of the house of representatives;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two members of the senate selected by the lieutenant governor.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task force member is not entitled to compensation for service on the task force or reimbursement for expenses incurred in performing task force duties.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task force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assess the status of vulnerable adults in this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examine existing services and resources addressing the needs of vulnerable adults in this state and any barriers impeding those services and resources;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determine the economic and human impact of financial exploitation of vulnerable adults in this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review possible solutions that could reduce the incidents of financial exploitation of vulnerable adults in this state;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develop recommendations to address abuse of vulnerable adults in this state,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possible legislation;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other state policies or responses.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state agency shall cooperate with and assist the task force in carrying out the duties of the task force.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Not later than December 31, 2024, the task force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prepare a written report that summarizes the task force's findings under this section and recommends solutions for improving the well-being of vulnerable adults in this state;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submit the written report to the: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governor;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lieutenant governor;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speaker of the house of representatives;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chair of the House Human Services Committee;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chair of the Senate Health and Human Services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task force is abolished and this Act expires June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