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Thimesch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4655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the vulnerable adult protection task force.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(a) In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"Task force" means the vulnerable adult protection task force established by this Act.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"Vulnerable adult"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elderly person as that term is defined by Section 48.002, Human Resources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with a disability as that term is defined by Section 48.002, Human Resources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vulnerable adult protection task force is established to study abuse of vulnerable adults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task force is composed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commissioner of the Health and Human Services Commission or the commissioner's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executive commissioner of the Department of State Health Services or the executive commissioner's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banking commissioner of the Texas Department of Banking or the banking commissioner's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commissioner of insurance of the Texas Department of Insurance or the commissioner of insurance's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district attorney selected by the Texas District and County Attorneys Association;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representative from the Department of Public Safety;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representative from the banking industry;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representative from the credit union industry;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representative of an unaffiliated nonprofit </w:t>
      </w:r>
      <w:r>
        <w:t xml:space="preserve">organization that advocates for elderly persons statewide;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representative of the health care industry.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task force member is not entitled to compensation for service on the task force or reimbursement for expenses incurred in performing task force duties.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task force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assess the status of vulnerable adults in this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examine existing services and resources addressing the needs of vulnerable adults in this state and any barriers impeding those services and resources;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determine the economic and human impact of financial exploitation of vulnerable adults in this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review possible solutions that could reduce the incidents of financial exploitation of vulnerable adults in this state;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develop recommendations to address abuse of vulnerable adults in this state,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possible legislation;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other state policies or responses.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state agency shall cooperate with and assist the task force in carrying out the duties of the task force.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Not later than January 1, 2025, the task force shall prepare and submit to the speaker of the house of representatives a written report that summarizes the task force's findings under this section and recommends solutions for improving the well-being of vulnerable adults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task force is abolished and this Act expires June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4655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